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398957">
      <w:pPr>
        <w:widowControl/>
        <w:spacing w:line="360" w:lineRule="atLeast"/>
        <w:jc w:val="center"/>
        <w:rPr>
          <w:rFonts w:eastAsia="方正小标宋简体"/>
          <w:sz w:val="36"/>
          <w:szCs w:val="36"/>
        </w:rPr>
      </w:pPr>
      <w:r>
        <w:rPr>
          <w:rFonts w:hint="eastAsia" w:eastAsia="方正小标宋简体"/>
          <w:sz w:val="36"/>
          <w:szCs w:val="36"/>
        </w:rPr>
        <w:t>《</w:t>
      </w:r>
      <w:bookmarkStart w:id="0" w:name="OLE_LINK1"/>
      <w:bookmarkStart w:id="1" w:name="OLE_LINK2"/>
      <w:r>
        <w:rPr>
          <w:rFonts w:hint="eastAsia" w:eastAsia="方正小标宋简体"/>
          <w:sz w:val="36"/>
          <w:szCs w:val="36"/>
        </w:rPr>
        <w:t>地理标志专用标志申报和使用规范</w:t>
      </w:r>
      <w:bookmarkEnd w:id="0"/>
      <w:bookmarkEnd w:id="1"/>
      <w:r>
        <w:rPr>
          <w:rFonts w:hint="eastAsia" w:eastAsia="方正小标宋简体"/>
          <w:sz w:val="36"/>
          <w:szCs w:val="36"/>
        </w:rPr>
        <w:t>》地方标准</w:t>
      </w:r>
    </w:p>
    <w:p w14:paraId="345685F0">
      <w:pPr>
        <w:widowControl/>
        <w:spacing w:line="360" w:lineRule="atLeast"/>
        <w:jc w:val="center"/>
        <w:rPr>
          <w:rFonts w:eastAsia="方正小标宋简体"/>
          <w:sz w:val="36"/>
          <w:szCs w:val="36"/>
        </w:rPr>
      </w:pPr>
      <w:r>
        <w:rPr>
          <w:rFonts w:hint="eastAsia" w:eastAsia="方正小标宋简体"/>
          <w:sz w:val="36"/>
          <w:szCs w:val="36"/>
        </w:rPr>
        <w:t>编制说明</w:t>
      </w:r>
    </w:p>
    <w:p w14:paraId="68785997">
      <w:pPr>
        <w:ind w:firstLine="640" w:firstLineChars="200"/>
        <w:rPr>
          <w:rFonts w:eastAsia="黑体"/>
          <w:sz w:val="28"/>
          <w:szCs w:val="28"/>
        </w:rPr>
      </w:pPr>
      <w:r>
        <w:rPr>
          <w:rFonts w:hint="eastAsia" w:hAnsi="黑体" w:eastAsia="黑体"/>
          <w:sz w:val="32"/>
          <w:szCs w:val="32"/>
        </w:rPr>
        <w:t>一、工作简况</w:t>
      </w:r>
    </w:p>
    <w:p w14:paraId="4F096333">
      <w:pPr>
        <w:pStyle w:val="20"/>
        <w:spacing w:line="360" w:lineRule="auto"/>
        <w:ind w:firstLine="640"/>
        <w:rPr>
          <w:rFonts w:ascii="仿宋" w:hAnsi="仿宋" w:eastAsia="仿宋" w:cs="仿宋"/>
          <w:sz w:val="28"/>
          <w:szCs w:val="28"/>
        </w:rPr>
      </w:pPr>
      <w:r>
        <w:rPr>
          <w:rFonts w:hint="eastAsia" w:ascii="仿宋" w:hAnsi="仿宋" w:eastAsia="仿宋" w:cs="仿宋"/>
          <w:sz w:val="32"/>
          <w:szCs w:val="32"/>
        </w:rPr>
        <w:t>为了加强地理标志保护，统一和规范地理标志专用标志使用</w:t>
      </w:r>
      <w:r>
        <w:rPr>
          <w:rFonts w:hint="eastAsia" w:ascii="仿宋" w:hAnsi="仿宋" w:eastAsia="仿宋" w:cs="仿宋"/>
          <w:sz w:val="28"/>
          <w:szCs w:val="28"/>
        </w:rPr>
        <w:t>，由江西省市场监督管理局知识产权保护协调处、江西省市场监督管理局商标监督管理处、江西省质量和标准化研究院等单位共同起草，经江西省标准技术审评中心立项评估，省局下达《江西省市场监管局关于下达</w:t>
      </w:r>
      <w:r>
        <w:rPr>
          <w:rFonts w:ascii="仿宋" w:hAnsi="仿宋" w:eastAsia="仿宋" w:cs="仿宋"/>
          <w:sz w:val="28"/>
          <w:szCs w:val="28"/>
        </w:rPr>
        <w:t>2024</w:t>
      </w:r>
      <w:r>
        <w:rPr>
          <w:rFonts w:hint="eastAsia" w:ascii="仿宋" w:hAnsi="仿宋" w:eastAsia="仿宋" w:cs="仿宋"/>
          <w:sz w:val="28"/>
          <w:szCs w:val="28"/>
        </w:rPr>
        <w:t>年第十一批江西省地方标准制修订计划的通知》批准《地理标志专用标志申报和使用规范》（计划号：</w:t>
      </w:r>
      <w:r>
        <w:rPr>
          <w:rFonts w:ascii="仿宋" w:hAnsi="仿宋" w:eastAsia="仿宋" w:cs="仿宋"/>
          <w:sz w:val="28"/>
          <w:szCs w:val="28"/>
        </w:rPr>
        <w:t>DB36-2024-11-22</w:t>
      </w:r>
      <w:r>
        <w:rPr>
          <w:rFonts w:hint="eastAsia" w:ascii="仿宋" w:hAnsi="仿宋" w:eastAsia="仿宋" w:cs="仿宋"/>
          <w:sz w:val="28"/>
          <w:szCs w:val="28"/>
        </w:rPr>
        <w:t>）通过立项。</w:t>
      </w:r>
    </w:p>
    <w:p w14:paraId="7350730A">
      <w:pPr>
        <w:ind w:firstLine="640" w:firstLineChars="200"/>
        <w:rPr>
          <w:rFonts w:eastAsia="黑体"/>
          <w:sz w:val="32"/>
          <w:szCs w:val="32"/>
        </w:rPr>
      </w:pPr>
      <w:r>
        <w:rPr>
          <w:rFonts w:hint="eastAsia" w:hAnsi="黑体" w:eastAsia="黑体"/>
          <w:sz w:val="32"/>
          <w:szCs w:val="32"/>
        </w:rPr>
        <w:t>二、制定（修订）标准的必要性和意义</w:t>
      </w:r>
    </w:p>
    <w:p w14:paraId="25CB7CB1">
      <w:pPr>
        <w:pStyle w:val="20"/>
        <w:spacing w:line="360" w:lineRule="auto"/>
        <w:ind w:firstLine="560"/>
        <w:rPr>
          <w:rFonts w:ascii="仿宋" w:hAnsi="仿宋" w:eastAsia="仿宋" w:cs="仿宋"/>
          <w:sz w:val="28"/>
          <w:szCs w:val="28"/>
        </w:rPr>
      </w:pPr>
      <w:r>
        <w:rPr>
          <w:rFonts w:hint="eastAsia" w:ascii="仿宋" w:hAnsi="仿宋" w:eastAsia="仿宋" w:cs="仿宋"/>
          <w:sz w:val="28"/>
          <w:szCs w:val="28"/>
        </w:rPr>
        <w:t>为了加强地理标志保护，统一和规范地理标志专用标志使用，国家知识产权局于</w:t>
      </w:r>
      <w:r>
        <w:rPr>
          <w:rFonts w:ascii="仿宋" w:hAnsi="仿宋" w:eastAsia="仿宋" w:cs="仿宋"/>
          <w:sz w:val="28"/>
          <w:szCs w:val="28"/>
        </w:rPr>
        <w:t>2020</w:t>
      </w:r>
      <w:r>
        <w:rPr>
          <w:rFonts w:hint="eastAsia" w:ascii="仿宋" w:hAnsi="仿宋" w:eastAsia="仿宋" w:cs="仿宋"/>
          <w:sz w:val="28"/>
          <w:szCs w:val="28"/>
        </w:rPr>
        <w:t>年发布了《地理标志专用标志使用管理办法（试行）》，该办法的实施有助于提升地理标志产品的市场竞争力，保护消费者权益，促进地方经济发展。近年来，江西省地理标志专用标志申报使用工作取得显著成绩，申报使用主体数</w:t>
      </w:r>
      <w:bookmarkStart w:id="2" w:name="_GoBack"/>
      <w:bookmarkEnd w:id="2"/>
      <w:r>
        <w:rPr>
          <w:rFonts w:hint="eastAsia" w:ascii="仿宋" w:hAnsi="仿宋" w:eastAsia="仿宋" w:cs="仿宋"/>
          <w:sz w:val="28"/>
          <w:szCs w:val="28"/>
        </w:rPr>
        <w:t>量不断增加。但由于办法未对地理标志专用标志具体的申报程序做详细规定，各省也相继出台相应地方标准作为办法的补充。为进一步规范江西省地理标志产品专用标志申报使用，推动江西地理标志产业高质量发展，有针对性的解决申请主体和有关企业地理标志保护意识薄弱、专用标志使用不规范等问题，增强可操作性，体现“放、管、服”，便于地理标志专用标志使用，利于基层知识产权管理部门的监督管理，急需制定详细的地理标志专用标志申报使用标准供全省相关市场主体使用。</w:t>
      </w:r>
    </w:p>
    <w:p w14:paraId="0A50F806">
      <w:pPr>
        <w:ind w:firstLine="560" w:firstLineChars="200"/>
        <w:rPr>
          <w:rFonts w:ascii="仿宋" w:hAnsi="仿宋" w:eastAsia="仿宋" w:cs="仿宋"/>
          <w:kern w:val="0"/>
          <w:sz w:val="28"/>
          <w:szCs w:val="28"/>
        </w:rPr>
      </w:pPr>
      <w:r>
        <w:rPr>
          <w:rFonts w:hint="eastAsia" w:ascii="仿宋" w:hAnsi="仿宋" w:eastAsia="仿宋" w:cs="仿宋"/>
          <w:kern w:val="0"/>
          <w:sz w:val="28"/>
          <w:szCs w:val="28"/>
        </w:rPr>
        <w:t>截至目前，我省已获批准保护的地理标志产品有</w:t>
      </w:r>
      <w:r>
        <w:rPr>
          <w:rFonts w:ascii="仿宋" w:hAnsi="仿宋" w:eastAsia="仿宋" w:cs="仿宋"/>
          <w:kern w:val="0"/>
          <w:sz w:val="28"/>
          <w:szCs w:val="28"/>
        </w:rPr>
        <w:t>64</w:t>
      </w:r>
      <w:r>
        <w:rPr>
          <w:rFonts w:hint="eastAsia" w:ascii="仿宋" w:hAnsi="仿宋" w:eastAsia="仿宋" w:cs="仿宋"/>
          <w:kern w:val="0"/>
          <w:sz w:val="28"/>
          <w:szCs w:val="28"/>
        </w:rPr>
        <w:t>个。其中，赣南脐橙、婺源绿茶、南丰蜜桔、狗牯脑茶、乐安竹笋、广昌白莲、会昌米粉、赣南茶油、泰和乌鸡、浮梁茶、信丰红瓜子和寻乌蜜桔等</w:t>
      </w:r>
      <w:r>
        <w:rPr>
          <w:rFonts w:ascii="仿宋" w:hAnsi="仿宋" w:eastAsia="仿宋" w:cs="仿宋"/>
          <w:kern w:val="0"/>
          <w:sz w:val="28"/>
          <w:szCs w:val="28"/>
        </w:rPr>
        <w:t>12</w:t>
      </w:r>
      <w:r>
        <w:rPr>
          <w:rFonts w:hint="eastAsia" w:ascii="仿宋" w:hAnsi="仿宋" w:eastAsia="仿宋" w:cs="仿宋"/>
          <w:kern w:val="0"/>
          <w:sz w:val="28"/>
          <w:szCs w:val="28"/>
        </w:rPr>
        <w:t>个产品先后列入中欧地理标志保护与合作协定；在</w:t>
      </w:r>
      <w:r>
        <w:rPr>
          <w:rFonts w:ascii="仿宋" w:hAnsi="仿宋" w:eastAsia="仿宋" w:cs="仿宋"/>
          <w:kern w:val="0"/>
          <w:sz w:val="28"/>
          <w:szCs w:val="28"/>
        </w:rPr>
        <w:t xml:space="preserve"> 2024 </w:t>
      </w:r>
      <w:r>
        <w:rPr>
          <w:rFonts w:hint="eastAsia" w:ascii="仿宋" w:hAnsi="仿宋" w:eastAsia="仿宋" w:cs="仿宋"/>
          <w:kern w:val="0"/>
          <w:sz w:val="28"/>
          <w:szCs w:val="28"/>
        </w:rPr>
        <w:t>中国品牌价值评价信息发布暨论坛活动中，赣南脐橙、南丰蜜桔、庐山云雾茶、赣南茶油、婺源绿茶、狗牯脑茶等</w:t>
      </w:r>
      <w:r>
        <w:rPr>
          <w:rFonts w:ascii="仿宋" w:hAnsi="仿宋" w:eastAsia="仿宋" w:cs="仿宋"/>
          <w:kern w:val="0"/>
          <w:sz w:val="28"/>
          <w:szCs w:val="28"/>
        </w:rPr>
        <w:t xml:space="preserve"> 6 </w:t>
      </w:r>
      <w:r>
        <w:rPr>
          <w:rFonts w:hint="eastAsia" w:ascii="仿宋" w:hAnsi="仿宋" w:eastAsia="仿宋" w:cs="仿宋"/>
          <w:kern w:val="0"/>
          <w:sz w:val="28"/>
          <w:szCs w:val="28"/>
        </w:rPr>
        <w:t>件地理标志入围区域品牌（地理标志）价值百强榜单，李渡酒首次入围轻工领域价值榜单，入围百强榜单数量位居全国第四位，</w:t>
      </w:r>
      <w:r>
        <w:rPr>
          <w:rFonts w:ascii="仿宋" w:hAnsi="仿宋" w:eastAsia="仿宋" w:cs="仿宋"/>
          <w:kern w:val="0"/>
          <w:sz w:val="28"/>
          <w:szCs w:val="28"/>
        </w:rPr>
        <w:t xml:space="preserve">7 </w:t>
      </w:r>
      <w:r>
        <w:rPr>
          <w:rFonts w:hint="eastAsia" w:ascii="仿宋" w:hAnsi="仿宋" w:eastAsia="仿宋" w:cs="仿宋"/>
          <w:kern w:val="0"/>
          <w:sz w:val="28"/>
          <w:szCs w:val="28"/>
        </w:rPr>
        <w:t>件地理标志发布总品牌价值高达</w:t>
      </w:r>
      <w:r>
        <w:rPr>
          <w:rFonts w:ascii="仿宋" w:hAnsi="仿宋" w:eastAsia="仿宋" w:cs="仿宋"/>
          <w:kern w:val="0"/>
          <w:sz w:val="28"/>
          <w:szCs w:val="28"/>
        </w:rPr>
        <w:t xml:space="preserve"> 1153 </w:t>
      </w:r>
      <w:r>
        <w:rPr>
          <w:rFonts w:hint="eastAsia" w:ascii="仿宋" w:hAnsi="仿宋" w:eastAsia="仿宋" w:cs="仿宋"/>
          <w:kern w:val="0"/>
          <w:sz w:val="28"/>
          <w:szCs w:val="28"/>
        </w:rPr>
        <w:t>亿元，较去年总品牌价值增加</w:t>
      </w:r>
      <w:r>
        <w:rPr>
          <w:rFonts w:ascii="仿宋" w:hAnsi="仿宋" w:eastAsia="仿宋" w:cs="仿宋"/>
          <w:kern w:val="0"/>
          <w:sz w:val="28"/>
          <w:szCs w:val="28"/>
        </w:rPr>
        <w:t xml:space="preserve"> 46 </w:t>
      </w:r>
      <w:r>
        <w:rPr>
          <w:rFonts w:hint="eastAsia" w:ascii="仿宋" w:hAnsi="仿宋" w:eastAsia="仿宋" w:cs="仿宋"/>
          <w:kern w:val="0"/>
          <w:sz w:val="28"/>
          <w:szCs w:val="28"/>
        </w:rPr>
        <w:t>亿元，平均品牌价值增长</w:t>
      </w:r>
      <w:r>
        <w:rPr>
          <w:rFonts w:ascii="仿宋" w:hAnsi="仿宋" w:eastAsia="仿宋" w:cs="仿宋"/>
          <w:kern w:val="0"/>
          <w:sz w:val="28"/>
          <w:szCs w:val="28"/>
        </w:rPr>
        <w:t xml:space="preserve"> 6.57 </w:t>
      </w:r>
      <w:r>
        <w:rPr>
          <w:rFonts w:hint="eastAsia" w:ascii="仿宋" w:hAnsi="仿宋" w:eastAsia="仿宋" w:cs="仿宋"/>
          <w:kern w:val="0"/>
          <w:sz w:val="28"/>
          <w:szCs w:val="28"/>
        </w:rPr>
        <w:t>亿元；江西省地理标志产品现行有效国家标准</w:t>
      </w:r>
      <w:r>
        <w:rPr>
          <w:rFonts w:ascii="仿宋" w:hAnsi="仿宋" w:eastAsia="仿宋" w:cs="仿宋"/>
          <w:kern w:val="0"/>
          <w:sz w:val="28"/>
          <w:szCs w:val="28"/>
        </w:rPr>
        <w:t>7</w:t>
      </w:r>
      <w:r>
        <w:rPr>
          <w:rFonts w:hint="eastAsia" w:ascii="仿宋" w:hAnsi="仿宋" w:eastAsia="仿宋" w:cs="仿宋"/>
          <w:kern w:val="0"/>
          <w:sz w:val="28"/>
          <w:szCs w:val="28"/>
        </w:rPr>
        <w:t>项，地方标准</w:t>
      </w:r>
      <w:r>
        <w:rPr>
          <w:rFonts w:ascii="仿宋" w:hAnsi="仿宋" w:eastAsia="仿宋" w:cs="仿宋"/>
          <w:kern w:val="0"/>
          <w:sz w:val="28"/>
          <w:szCs w:val="28"/>
        </w:rPr>
        <w:t>36</w:t>
      </w:r>
      <w:r>
        <w:rPr>
          <w:rFonts w:hint="eastAsia" w:ascii="仿宋" w:hAnsi="仿宋" w:eastAsia="仿宋" w:cs="仿宋"/>
          <w:kern w:val="0"/>
          <w:sz w:val="28"/>
          <w:szCs w:val="28"/>
        </w:rPr>
        <w:t>项；保护产品对应又以地理标志注册的证明商标</w:t>
      </w:r>
      <w:r>
        <w:rPr>
          <w:rFonts w:ascii="仿宋" w:hAnsi="仿宋" w:eastAsia="仿宋" w:cs="仿宋"/>
          <w:kern w:val="0"/>
          <w:sz w:val="28"/>
          <w:szCs w:val="28"/>
        </w:rPr>
        <w:t>/</w:t>
      </w:r>
      <w:r>
        <w:rPr>
          <w:rFonts w:hint="eastAsia" w:ascii="仿宋" w:hAnsi="仿宋" w:eastAsia="仿宋" w:cs="仿宋"/>
          <w:kern w:val="0"/>
          <w:sz w:val="28"/>
          <w:szCs w:val="28"/>
        </w:rPr>
        <w:t>集体商标的有</w:t>
      </w:r>
      <w:r>
        <w:rPr>
          <w:rFonts w:ascii="仿宋" w:hAnsi="仿宋" w:eastAsia="仿宋" w:cs="仿宋"/>
          <w:kern w:val="0"/>
          <w:sz w:val="28"/>
          <w:szCs w:val="28"/>
        </w:rPr>
        <w:t>27</w:t>
      </w:r>
      <w:r>
        <w:rPr>
          <w:rFonts w:hint="eastAsia" w:ascii="仿宋" w:hAnsi="仿宋" w:eastAsia="仿宋" w:cs="仿宋"/>
          <w:kern w:val="0"/>
          <w:sz w:val="28"/>
          <w:szCs w:val="28"/>
        </w:rPr>
        <w:t>件；累计已开放地理标志专用标志下载权限的地理标志产品</w:t>
      </w:r>
      <w:r>
        <w:rPr>
          <w:rFonts w:ascii="仿宋" w:hAnsi="仿宋" w:eastAsia="仿宋" w:cs="仿宋"/>
          <w:kern w:val="0"/>
          <w:sz w:val="28"/>
          <w:szCs w:val="28"/>
        </w:rPr>
        <w:t>22</w:t>
      </w:r>
      <w:r>
        <w:rPr>
          <w:rFonts w:hint="eastAsia" w:ascii="仿宋" w:hAnsi="仿宋" w:eastAsia="仿宋" w:cs="仿宋"/>
          <w:kern w:val="0"/>
          <w:sz w:val="28"/>
          <w:szCs w:val="28"/>
        </w:rPr>
        <w:t>个，累计核准使用地理标志产品专用标志的市场主体</w:t>
      </w:r>
      <w:r>
        <w:rPr>
          <w:rFonts w:ascii="仿宋" w:hAnsi="仿宋" w:eastAsia="仿宋" w:cs="仿宋"/>
          <w:kern w:val="0"/>
          <w:sz w:val="28"/>
          <w:szCs w:val="28"/>
        </w:rPr>
        <w:t>242</w:t>
      </w:r>
      <w:r>
        <w:rPr>
          <w:rFonts w:hint="eastAsia" w:ascii="仿宋" w:hAnsi="仿宋" w:eastAsia="仿宋" w:cs="仿宋"/>
          <w:kern w:val="0"/>
          <w:sz w:val="28"/>
          <w:szCs w:val="28"/>
        </w:rPr>
        <w:t>家，累计产业产值高达</w:t>
      </w:r>
      <w:r>
        <w:rPr>
          <w:rFonts w:ascii="仿宋" w:hAnsi="仿宋" w:eastAsia="仿宋" w:cs="仿宋"/>
          <w:kern w:val="0"/>
          <w:sz w:val="28"/>
          <w:szCs w:val="28"/>
        </w:rPr>
        <w:t>150</w:t>
      </w:r>
      <w:r>
        <w:rPr>
          <w:rFonts w:hint="eastAsia" w:ascii="仿宋" w:hAnsi="仿宋" w:eastAsia="仿宋" w:cs="仿宋"/>
          <w:kern w:val="0"/>
          <w:sz w:val="28"/>
          <w:szCs w:val="28"/>
        </w:rPr>
        <w:t>亿元。</w:t>
      </w:r>
    </w:p>
    <w:p w14:paraId="3765C784">
      <w:pPr>
        <w:tabs>
          <w:tab w:val="left" w:pos="720"/>
        </w:tabs>
        <w:ind w:firstLine="560" w:firstLineChars="200"/>
        <w:rPr>
          <w:rFonts w:ascii="仿宋" w:hAnsi="仿宋" w:eastAsia="仿宋" w:cs="仿宋"/>
          <w:kern w:val="0"/>
          <w:sz w:val="28"/>
          <w:szCs w:val="28"/>
        </w:rPr>
      </w:pPr>
      <w:r>
        <w:rPr>
          <w:rFonts w:hint="eastAsia" w:ascii="仿宋" w:hAnsi="仿宋" w:eastAsia="仿宋" w:cs="仿宋"/>
          <w:kern w:val="0"/>
          <w:sz w:val="28"/>
          <w:szCs w:val="28"/>
        </w:rPr>
        <w:t>以地理标志产品为依托，积极推动一、二、三产业融合发展，形成了一批集种植养殖、生产加工、销售物流、文化旅游等于一体的全产业链条，如赣南脐橙（</w:t>
      </w:r>
      <w:r>
        <w:rPr>
          <w:rFonts w:ascii="仿宋" w:hAnsi="仿宋" w:eastAsia="仿宋" w:cs="仿宋"/>
          <w:kern w:val="0"/>
          <w:sz w:val="28"/>
          <w:szCs w:val="28"/>
        </w:rPr>
        <w:t>103</w:t>
      </w:r>
      <w:r>
        <w:rPr>
          <w:rFonts w:hint="eastAsia" w:ascii="仿宋" w:hAnsi="仿宋" w:eastAsia="仿宋" w:cs="仿宋"/>
          <w:kern w:val="0"/>
          <w:sz w:val="28"/>
          <w:szCs w:val="28"/>
        </w:rPr>
        <w:t>家）产业，不仅带动了当地脐橙种植、采摘、加工等环节的发展，还促进了脐橙文化旅游、电商物流等相关产业的繁荣，为当地经济发展和农民增收注入了强大动力</w:t>
      </w:r>
      <w:r>
        <w:rPr>
          <w:rFonts w:ascii="仿宋" w:hAnsi="仿宋" w:eastAsia="仿宋" w:cs="仿宋"/>
          <w:kern w:val="0"/>
          <w:sz w:val="28"/>
          <w:szCs w:val="28"/>
        </w:rPr>
        <w:t xml:space="preserve"> </w:t>
      </w:r>
      <w:r>
        <w:rPr>
          <w:rFonts w:hint="eastAsia" w:ascii="仿宋" w:hAnsi="仿宋" w:eastAsia="仿宋" w:cs="仿宋"/>
          <w:kern w:val="0"/>
          <w:sz w:val="28"/>
          <w:szCs w:val="28"/>
        </w:rPr>
        <w:t>。</w:t>
      </w:r>
    </w:p>
    <w:p w14:paraId="5C1752C2">
      <w:pPr>
        <w:tabs>
          <w:tab w:val="left" w:pos="720"/>
        </w:tabs>
        <w:ind w:firstLine="560" w:firstLineChars="200"/>
        <w:rPr>
          <w:rFonts w:ascii="仿宋" w:hAnsi="仿宋" w:eastAsia="仿宋" w:cs="仿宋"/>
          <w:kern w:val="0"/>
          <w:sz w:val="28"/>
          <w:szCs w:val="28"/>
        </w:rPr>
      </w:pPr>
      <w:r>
        <w:rPr>
          <w:rFonts w:ascii="仿宋" w:hAnsi="仿宋" w:eastAsia="仿宋" w:cs="仿宋"/>
          <w:kern w:val="0"/>
          <w:sz w:val="28"/>
          <w:szCs w:val="28"/>
        </w:rPr>
        <w:pict>
          <v:shape id="_x0000_i1025" o:spt="75" type="#_x0000_t75" style="height:269.25pt;width:406.5pt;" filled="f" o:preferrelative="t" stroked="f" coordsize="21600,21600">
            <v:path/>
            <v:fill on="f" focussize="0,0"/>
            <v:stroke on="f" joinstyle="miter"/>
            <v:imagedata r:id="rId5" o:title=""/>
            <o:lock v:ext="edit" aspectratio="t"/>
            <w10:wrap type="none"/>
            <w10:anchorlock/>
          </v:shape>
        </w:pict>
      </w:r>
    </w:p>
    <w:p w14:paraId="1855C76B">
      <w:pPr>
        <w:ind w:firstLine="640" w:firstLineChars="200"/>
        <w:rPr>
          <w:rFonts w:eastAsia="黑体"/>
          <w:sz w:val="32"/>
          <w:szCs w:val="32"/>
        </w:rPr>
      </w:pPr>
      <w:r>
        <w:rPr>
          <w:rFonts w:hint="eastAsia" w:hAnsi="黑体" w:eastAsia="黑体"/>
          <w:sz w:val="32"/>
          <w:szCs w:val="32"/>
        </w:rPr>
        <w:t>三、主要起草过程</w:t>
      </w:r>
    </w:p>
    <w:p w14:paraId="5BBF0260">
      <w:pPr>
        <w:ind w:firstLine="643" w:firstLineChars="200"/>
        <w:rPr>
          <w:rFonts w:ascii="楷体_GB2312" w:hAnsi="楷体_GB2312" w:eastAsia="楷体_GB2312" w:cs="楷体_GB2312"/>
          <w:b/>
          <w:bCs/>
          <w:sz w:val="32"/>
          <w:szCs w:val="32"/>
        </w:rPr>
      </w:pPr>
      <w:r>
        <w:rPr>
          <w:rFonts w:ascii="楷体_GB2312" w:hAnsi="楷体_GB2312" w:eastAsia="楷体_GB2312" w:cs="楷体_GB2312"/>
          <w:b/>
          <w:bCs/>
          <w:sz w:val="32"/>
          <w:szCs w:val="32"/>
        </w:rPr>
        <w:t>1.</w:t>
      </w:r>
      <w:r>
        <w:rPr>
          <w:rFonts w:hint="eastAsia" w:ascii="楷体_GB2312" w:hAnsi="楷体_GB2312" w:eastAsia="楷体_GB2312" w:cs="楷体_GB2312"/>
          <w:b/>
          <w:bCs/>
          <w:sz w:val="32"/>
          <w:szCs w:val="32"/>
        </w:rPr>
        <w:t>前期基础工作研究</w:t>
      </w:r>
    </w:p>
    <w:p w14:paraId="0C1AF1B1">
      <w:pPr>
        <w:ind w:firstLine="560" w:firstLineChars="200"/>
        <w:rPr>
          <w:rFonts w:ascii="仿宋" w:hAnsi="仿宋" w:eastAsia="仿宋" w:cs="仿宋"/>
          <w:kern w:val="0"/>
          <w:sz w:val="28"/>
          <w:szCs w:val="28"/>
        </w:rPr>
      </w:pPr>
      <w:r>
        <w:rPr>
          <w:rFonts w:hint="eastAsia" w:ascii="仿宋" w:hAnsi="仿宋" w:eastAsia="仿宋" w:cs="仿宋"/>
          <w:kern w:val="0"/>
          <w:sz w:val="28"/>
          <w:szCs w:val="28"/>
        </w:rPr>
        <w:t>本标准是在参考以下现有国家文件制定的：《地理标志专用标志使用管理办法（试行）》《地理标志产品保护规定》</w:t>
      </w:r>
      <w:r>
        <w:rPr>
          <w:rFonts w:ascii="仿宋" w:hAnsi="仿宋" w:eastAsia="仿宋" w:cs="仿宋"/>
          <w:kern w:val="0"/>
          <w:sz w:val="28"/>
          <w:szCs w:val="28"/>
        </w:rPr>
        <w:t xml:space="preserve"> </w:t>
      </w:r>
      <w:r>
        <w:rPr>
          <w:rFonts w:hint="eastAsia" w:ascii="仿宋" w:hAnsi="仿宋" w:eastAsia="仿宋" w:cs="仿宋"/>
          <w:kern w:val="0"/>
          <w:sz w:val="28"/>
          <w:szCs w:val="28"/>
        </w:rPr>
        <w:t>《集体商标、证明商标注册和管理办法》《知识产权政务服务事项办事指南（第二版）》（</w:t>
      </w:r>
      <w:r>
        <w:rPr>
          <w:rFonts w:ascii="仿宋" w:hAnsi="仿宋" w:eastAsia="仿宋" w:cs="仿宋"/>
          <w:kern w:val="0"/>
          <w:sz w:val="28"/>
          <w:szCs w:val="28"/>
        </w:rPr>
        <w:t>2024</w:t>
      </w:r>
      <w:r>
        <w:rPr>
          <w:rFonts w:hint="eastAsia" w:ascii="仿宋" w:hAnsi="仿宋" w:eastAsia="仿宋" w:cs="仿宋"/>
          <w:kern w:val="0"/>
          <w:sz w:val="28"/>
          <w:szCs w:val="28"/>
        </w:rPr>
        <w:t>版），加上全省较为成熟的地理标志专用标志申报使用工作，如</w:t>
      </w:r>
      <w:r>
        <w:rPr>
          <w:rFonts w:ascii="仿宋" w:hAnsi="仿宋" w:eastAsia="仿宋" w:cs="仿宋"/>
          <w:kern w:val="0"/>
          <w:sz w:val="28"/>
          <w:szCs w:val="28"/>
        </w:rPr>
        <w:t xml:space="preserve">2024 </w:t>
      </w:r>
      <w:r>
        <w:rPr>
          <w:rFonts w:hint="eastAsia" w:ascii="仿宋" w:hAnsi="仿宋" w:eastAsia="仿宋" w:cs="仿宋"/>
          <w:kern w:val="0"/>
          <w:sz w:val="28"/>
          <w:szCs w:val="28"/>
        </w:rPr>
        <w:t>年，江西省</w:t>
      </w:r>
      <w:r>
        <w:rPr>
          <w:rFonts w:ascii="仿宋" w:hAnsi="仿宋" w:eastAsia="仿宋" w:cs="仿宋"/>
          <w:kern w:val="0"/>
          <w:sz w:val="28"/>
          <w:szCs w:val="28"/>
        </w:rPr>
        <w:t xml:space="preserve"> </w:t>
      </w:r>
      <w:r>
        <w:rPr>
          <w:rFonts w:hint="eastAsia" w:ascii="仿宋" w:hAnsi="仿宋" w:eastAsia="仿宋" w:cs="仿宋"/>
          <w:kern w:val="0"/>
          <w:sz w:val="28"/>
          <w:szCs w:val="28"/>
        </w:rPr>
        <w:t>“景德镇瓷器”</w:t>
      </w:r>
      <w:r>
        <w:rPr>
          <w:rFonts w:ascii="仿宋" w:hAnsi="仿宋" w:eastAsia="仿宋" w:cs="仿宋"/>
          <w:kern w:val="0"/>
          <w:sz w:val="28"/>
          <w:szCs w:val="28"/>
        </w:rPr>
        <w:t xml:space="preserve"> </w:t>
      </w:r>
      <w:r>
        <w:rPr>
          <w:rFonts w:hint="eastAsia" w:ascii="仿宋" w:hAnsi="仿宋" w:eastAsia="仿宋" w:cs="仿宋"/>
          <w:kern w:val="0"/>
          <w:sz w:val="28"/>
          <w:szCs w:val="28"/>
        </w:rPr>
        <w:t>地理标志专用标志使用实现</w:t>
      </w:r>
      <w:r>
        <w:rPr>
          <w:rFonts w:ascii="仿宋" w:hAnsi="仿宋" w:eastAsia="仿宋" w:cs="仿宋"/>
          <w:kern w:val="0"/>
          <w:sz w:val="28"/>
          <w:szCs w:val="28"/>
        </w:rPr>
        <w:t xml:space="preserve"> </w:t>
      </w:r>
      <w:r>
        <w:rPr>
          <w:rFonts w:hint="eastAsia" w:ascii="仿宋" w:hAnsi="仿宋" w:eastAsia="仿宋" w:cs="仿宋"/>
          <w:kern w:val="0"/>
          <w:sz w:val="28"/>
          <w:szCs w:val="28"/>
        </w:rPr>
        <w:t>“零”</w:t>
      </w:r>
      <w:r>
        <w:rPr>
          <w:rFonts w:ascii="仿宋" w:hAnsi="仿宋" w:eastAsia="仿宋" w:cs="仿宋"/>
          <w:kern w:val="0"/>
          <w:sz w:val="28"/>
          <w:szCs w:val="28"/>
        </w:rPr>
        <w:t xml:space="preserve"> </w:t>
      </w:r>
      <w:r>
        <w:rPr>
          <w:rFonts w:hint="eastAsia" w:ascii="仿宋" w:hAnsi="仿宋" w:eastAsia="仿宋" w:cs="仿宋"/>
          <w:kern w:val="0"/>
          <w:sz w:val="28"/>
          <w:szCs w:val="28"/>
        </w:rPr>
        <w:t>的突破，首批</w:t>
      </w:r>
      <w:r>
        <w:rPr>
          <w:rFonts w:ascii="仿宋" w:hAnsi="仿宋" w:eastAsia="仿宋" w:cs="仿宋"/>
          <w:kern w:val="0"/>
          <w:sz w:val="28"/>
          <w:szCs w:val="28"/>
        </w:rPr>
        <w:t xml:space="preserve"> 2 </w:t>
      </w:r>
      <w:r>
        <w:rPr>
          <w:rFonts w:hint="eastAsia" w:ascii="仿宋" w:hAnsi="仿宋" w:eastAsia="仿宋" w:cs="仿宋"/>
          <w:kern w:val="0"/>
          <w:sz w:val="28"/>
          <w:szCs w:val="28"/>
        </w:rPr>
        <w:t>家陶瓷企业获批使用，这为景德镇地理标志产品专用标志的使用树立了标杆，也为全省地理标志产品专用标志使用申报工作提供了借鉴。</w:t>
      </w:r>
    </w:p>
    <w:p w14:paraId="42009197">
      <w:pPr>
        <w:ind w:firstLine="643" w:firstLineChars="200"/>
        <w:rPr>
          <w:rFonts w:ascii="楷体_GB2312" w:hAnsi="楷体_GB2312" w:eastAsia="楷体_GB2312" w:cs="楷体_GB2312"/>
          <w:b/>
          <w:bCs/>
          <w:sz w:val="32"/>
          <w:szCs w:val="32"/>
        </w:rPr>
      </w:pPr>
      <w:r>
        <w:rPr>
          <w:rFonts w:ascii="楷体_GB2312" w:hAnsi="楷体_GB2312" w:eastAsia="楷体_GB2312" w:cs="楷体_GB2312"/>
          <w:b/>
          <w:bCs/>
          <w:sz w:val="32"/>
          <w:szCs w:val="32"/>
        </w:rPr>
        <w:t>2.</w:t>
      </w:r>
      <w:r>
        <w:rPr>
          <w:rFonts w:hint="eastAsia" w:ascii="楷体_GB2312" w:hAnsi="楷体_GB2312" w:eastAsia="楷体_GB2312" w:cs="楷体_GB2312"/>
          <w:b/>
          <w:bCs/>
          <w:sz w:val="32"/>
          <w:szCs w:val="32"/>
        </w:rPr>
        <w:t>成立标准编写小组</w:t>
      </w:r>
    </w:p>
    <w:p w14:paraId="7A967BF8">
      <w:pPr>
        <w:pStyle w:val="20"/>
        <w:spacing w:line="360" w:lineRule="auto"/>
        <w:ind w:firstLine="560"/>
        <w:rPr>
          <w:rFonts w:ascii="仿宋" w:hAnsi="仿宋" w:eastAsia="仿宋" w:cs="仿宋"/>
          <w:sz w:val="28"/>
          <w:szCs w:val="28"/>
        </w:rPr>
      </w:pPr>
      <w:r>
        <w:rPr>
          <w:rFonts w:hint="eastAsia" w:ascii="仿宋" w:hAnsi="仿宋" w:eastAsia="仿宋" w:cs="仿宋"/>
          <w:sz w:val="28"/>
          <w:szCs w:val="28"/>
        </w:rPr>
        <w:t>标准制定想法出来后，积极组织成立标准起草小组，并就《地理标志专用标志申报使用规范》的起草工作进行了认真研究，制定了总体工作方案，启动了标准的起草工作。本标准的相关术语表达符合最新发布的国家标准</w:t>
      </w:r>
      <w:r>
        <w:rPr>
          <w:rFonts w:ascii="仿宋" w:hAnsi="仿宋" w:eastAsia="仿宋" w:cs="仿宋"/>
          <w:sz w:val="28"/>
          <w:szCs w:val="28"/>
        </w:rPr>
        <w:t xml:space="preserve">GB/T 44584-2024 </w:t>
      </w:r>
      <w:r>
        <w:rPr>
          <w:rFonts w:hint="eastAsia" w:ascii="仿宋" w:hAnsi="仿宋" w:eastAsia="仿宋" w:cs="仿宋"/>
          <w:sz w:val="28"/>
          <w:szCs w:val="28"/>
        </w:rPr>
        <w:t>《地理标志</w:t>
      </w:r>
      <w:r>
        <w:rPr>
          <w:rFonts w:ascii="仿宋" w:hAnsi="仿宋" w:eastAsia="仿宋" w:cs="仿宋"/>
          <w:sz w:val="28"/>
          <w:szCs w:val="28"/>
        </w:rPr>
        <w:t xml:space="preserve">  </w:t>
      </w:r>
      <w:r>
        <w:rPr>
          <w:rFonts w:hint="eastAsia" w:ascii="仿宋" w:hAnsi="仿宋" w:eastAsia="仿宋" w:cs="仿宋"/>
          <w:sz w:val="28"/>
          <w:szCs w:val="28"/>
        </w:rPr>
        <w:t>基础术语》，全国有山东、新疆等部分地区出台了相应的地方标准配合《地理标志专用标志使用管理办法（试行）》使用，本标准提出符合江西实际情况，相关申报程序文件的要求更加细致，增加了注销情形，整体从保护管理出发，指导性更强。</w:t>
      </w:r>
    </w:p>
    <w:p w14:paraId="04A08A7E">
      <w:pPr>
        <w:ind w:firstLine="643" w:firstLineChars="200"/>
        <w:rPr>
          <w:rFonts w:ascii="楷体_GB2312" w:hAnsi="楷体_GB2312" w:eastAsia="楷体_GB2312" w:cs="楷体_GB2312"/>
          <w:b/>
          <w:bCs/>
          <w:sz w:val="32"/>
          <w:szCs w:val="32"/>
        </w:rPr>
      </w:pPr>
      <w:r>
        <w:rPr>
          <w:rFonts w:ascii="楷体_GB2312" w:hAnsi="楷体_GB2312" w:eastAsia="楷体_GB2312" w:cs="楷体_GB2312"/>
          <w:b/>
          <w:bCs/>
          <w:sz w:val="32"/>
          <w:szCs w:val="32"/>
        </w:rPr>
        <w:t>3.</w:t>
      </w:r>
      <w:r>
        <w:rPr>
          <w:rFonts w:hint="eastAsia" w:ascii="楷体_GB2312" w:hAnsi="楷体_GB2312" w:eastAsia="楷体_GB2312" w:cs="楷体_GB2312"/>
          <w:b/>
          <w:bCs/>
          <w:sz w:val="32"/>
          <w:szCs w:val="32"/>
        </w:rPr>
        <w:t>标准草案</w:t>
      </w:r>
    </w:p>
    <w:p w14:paraId="247EC93D">
      <w:pPr>
        <w:pStyle w:val="20"/>
        <w:spacing w:line="360" w:lineRule="auto"/>
        <w:ind w:firstLine="560"/>
        <w:rPr>
          <w:rFonts w:ascii="仿宋" w:hAnsi="仿宋" w:eastAsia="仿宋" w:cs="仿宋"/>
          <w:sz w:val="28"/>
          <w:szCs w:val="28"/>
        </w:rPr>
      </w:pPr>
      <w:r>
        <w:rPr>
          <w:rFonts w:hint="eastAsia" w:ascii="仿宋" w:hAnsi="仿宋" w:eastAsia="仿宋" w:cs="仿宋"/>
          <w:sz w:val="28"/>
          <w:szCs w:val="28"/>
        </w:rPr>
        <w:t>编制组参考相关文件，收集专用标志申报所需要的表格及程序，最终确认拟定标准草案，初步拟定名称《地理标志专用标志申报使用规范》并向省市场监督管</w:t>
      </w:r>
      <w:r>
        <w:rPr>
          <w:rFonts w:hint="eastAsia" w:ascii="仿宋" w:hAnsi="仿宋" w:eastAsia="仿宋" w:cs="仿宋"/>
          <w:sz w:val="28"/>
          <w:szCs w:val="28"/>
          <w:lang w:eastAsia="zh-CN"/>
        </w:rPr>
        <w:t>理</w:t>
      </w:r>
      <w:r>
        <w:rPr>
          <w:rFonts w:hint="eastAsia" w:ascii="仿宋" w:hAnsi="仿宋" w:eastAsia="仿宋" w:cs="仿宋"/>
          <w:sz w:val="28"/>
          <w:szCs w:val="28"/>
        </w:rPr>
        <w:t>局提出申请，参加省标准技术审评中心组织答辩。</w:t>
      </w:r>
    </w:p>
    <w:p w14:paraId="47F610D6">
      <w:pPr>
        <w:ind w:firstLine="643" w:firstLineChars="200"/>
        <w:rPr>
          <w:rFonts w:ascii="楷体_GB2312" w:hAnsi="楷体_GB2312" w:eastAsia="楷体_GB2312" w:cs="楷体_GB2312"/>
          <w:b/>
          <w:bCs/>
          <w:sz w:val="32"/>
          <w:szCs w:val="32"/>
        </w:rPr>
      </w:pPr>
      <w:r>
        <w:rPr>
          <w:rFonts w:ascii="楷体_GB2312" w:hAnsi="楷体_GB2312" w:eastAsia="楷体_GB2312" w:cs="楷体_GB2312"/>
          <w:b/>
          <w:bCs/>
          <w:sz w:val="32"/>
          <w:szCs w:val="32"/>
        </w:rPr>
        <w:t>4.</w:t>
      </w:r>
      <w:r>
        <w:rPr>
          <w:rFonts w:hint="eastAsia" w:ascii="楷体_GB2312" w:hAnsi="楷体_GB2312" w:eastAsia="楷体_GB2312" w:cs="楷体_GB2312"/>
          <w:b/>
          <w:bCs/>
          <w:sz w:val="32"/>
          <w:szCs w:val="32"/>
        </w:rPr>
        <w:t>标准征求意见稿</w:t>
      </w:r>
    </w:p>
    <w:p w14:paraId="7DEA7BC8">
      <w:pPr>
        <w:pStyle w:val="20"/>
        <w:spacing w:line="360" w:lineRule="auto"/>
        <w:ind w:firstLine="560"/>
        <w:rPr>
          <w:rFonts w:ascii="仿宋" w:hAnsi="仿宋" w:eastAsia="仿宋" w:cs="仿宋"/>
          <w:sz w:val="28"/>
          <w:szCs w:val="28"/>
        </w:rPr>
      </w:pPr>
      <w:r>
        <w:rPr>
          <w:rFonts w:ascii="仿宋" w:hAnsi="仿宋" w:eastAsia="仿宋" w:cs="仿宋"/>
          <w:sz w:val="28"/>
          <w:szCs w:val="28"/>
        </w:rPr>
        <w:t>2024.12.30</w:t>
      </w:r>
      <w:r>
        <w:rPr>
          <w:rFonts w:hint="eastAsia" w:ascii="仿宋" w:hAnsi="仿宋" w:eastAsia="仿宋" w:cs="仿宋"/>
          <w:sz w:val="28"/>
          <w:szCs w:val="28"/>
        </w:rPr>
        <w:t>，省市场监督管理局下达《江西省市场监管局关于下达</w:t>
      </w:r>
      <w:r>
        <w:rPr>
          <w:rFonts w:ascii="仿宋" w:hAnsi="仿宋" w:eastAsia="仿宋" w:cs="仿宋"/>
          <w:sz w:val="28"/>
          <w:szCs w:val="28"/>
        </w:rPr>
        <w:t>2024</w:t>
      </w:r>
      <w:r>
        <w:rPr>
          <w:rFonts w:hint="eastAsia" w:ascii="仿宋" w:hAnsi="仿宋" w:eastAsia="仿宋" w:cs="仿宋"/>
          <w:sz w:val="28"/>
          <w:szCs w:val="28"/>
        </w:rPr>
        <w:t>年第十一批江西省地方标准制修订计划的通知》批准《地理标志专用标志申报和使用规范》（计划号：</w:t>
      </w:r>
      <w:r>
        <w:rPr>
          <w:rFonts w:ascii="仿宋" w:hAnsi="仿宋" w:eastAsia="仿宋" w:cs="仿宋"/>
          <w:sz w:val="28"/>
          <w:szCs w:val="28"/>
        </w:rPr>
        <w:t>DB36-2024-11-22</w:t>
      </w:r>
      <w:r>
        <w:rPr>
          <w:rFonts w:hint="eastAsia" w:ascii="仿宋" w:hAnsi="仿宋" w:eastAsia="仿宋" w:cs="仿宋"/>
          <w:sz w:val="28"/>
          <w:szCs w:val="28"/>
        </w:rPr>
        <w:t>）通过立项，标准名称根据专家意见已修改，同步对相关文本内容调整，确定文本征求意见稿，并开始向各设区市及使用主体征求意见。</w:t>
      </w:r>
    </w:p>
    <w:p w14:paraId="6419D12F">
      <w:pPr>
        <w:ind w:firstLine="640" w:firstLineChars="200"/>
        <w:rPr>
          <w:rFonts w:eastAsia="黑体"/>
          <w:sz w:val="32"/>
          <w:szCs w:val="32"/>
        </w:rPr>
      </w:pPr>
      <w:r>
        <w:rPr>
          <w:rFonts w:hint="eastAsia" w:hAnsi="黑体" w:eastAsia="黑体"/>
          <w:sz w:val="32"/>
          <w:szCs w:val="32"/>
        </w:rPr>
        <w:t>四、制定（修订）标准的原则和依据，与现行法律、法规、标准的关系</w:t>
      </w:r>
    </w:p>
    <w:p w14:paraId="4DBACD33">
      <w:pPr>
        <w:ind w:firstLine="643" w:firstLineChars="200"/>
        <w:rPr>
          <w:rFonts w:ascii="楷体_GB2312" w:hAnsi="楷体_GB2312" w:eastAsia="楷体_GB2312" w:cs="楷体_GB2312"/>
          <w:b/>
          <w:bCs/>
          <w:sz w:val="32"/>
          <w:szCs w:val="32"/>
        </w:rPr>
      </w:pPr>
      <w:r>
        <w:rPr>
          <w:rFonts w:ascii="楷体_GB2312" w:hAnsi="楷体_GB2312" w:eastAsia="楷体_GB2312" w:cs="楷体_GB2312"/>
          <w:b/>
          <w:bCs/>
          <w:sz w:val="32"/>
          <w:szCs w:val="32"/>
        </w:rPr>
        <w:t>1.</w:t>
      </w:r>
      <w:r>
        <w:rPr>
          <w:rFonts w:hint="eastAsia" w:ascii="楷体_GB2312" w:hAnsi="楷体_GB2312" w:eastAsia="楷体_GB2312" w:cs="楷体_GB2312"/>
          <w:b/>
          <w:bCs/>
          <w:sz w:val="32"/>
          <w:szCs w:val="32"/>
        </w:rPr>
        <w:t>制定（修订）标准的原则</w:t>
      </w:r>
    </w:p>
    <w:p w14:paraId="1BE204D2">
      <w:pPr>
        <w:spacing w:line="560" w:lineRule="exact"/>
        <w:ind w:firstLine="560" w:firstLineChars="200"/>
        <w:rPr>
          <w:rFonts w:ascii="宋体" w:hAnsi="仿宋" w:eastAsia="仿宋"/>
          <w:kern w:val="0"/>
          <w:sz w:val="28"/>
          <w:szCs w:val="28"/>
        </w:rPr>
      </w:pPr>
      <w:r>
        <w:rPr>
          <w:rFonts w:hint="eastAsia" w:ascii="宋体" w:hAnsi="仿宋" w:eastAsia="仿宋"/>
          <w:kern w:val="0"/>
          <w:sz w:val="28"/>
          <w:szCs w:val="28"/>
        </w:rPr>
        <w:t>本标准遵循“针对性、先进性、实用性、统一性、规范性”的原则，尽可能与国内外领先标准接轨，注重了标准的可操作性，严格按</w:t>
      </w:r>
      <w:r>
        <w:rPr>
          <w:rFonts w:ascii="宋体" w:hAnsi="仿宋" w:eastAsia="仿宋"/>
          <w:kern w:val="0"/>
          <w:sz w:val="28"/>
          <w:szCs w:val="28"/>
        </w:rPr>
        <w:t>GB/T 1.1-2020</w:t>
      </w:r>
      <w:r>
        <w:rPr>
          <w:rFonts w:hint="eastAsia" w:ascii="宋体" w:hAnsi="仿宋" w:eastAsia="仿宋"/>
          <w:kern w:val="0"/>
          <w:sz w:val="28"/>
          <w:szCs w:val="28"/>
        </w:rPr>
        <w:t>的最新版本的要求进行编写。</w:t>
      </w:r>
    </w:p>
    <w:p w14:paraId="2EE38ACD">
      <w:pPr>
        <w:pStyle w:val="16"/>
        <w:ind w:firstLine="643"/>
        <w:rPr>
          <w:rFonts w:ascii="楷体_GB2312" w:hAnsi="楷体_GB2312" w:eastAsia="楷体_GB2312" w:cs="楷体_GB2312"/>
          <w:b/>
          <w:bCs/>
          <w:kern w:val="2"/>
          <w:sz w:val="32"/>
          <w:szCs w:val="32"/>
        </w:rPr>
      </w:pPr>
      <w:r>
        <w:rPr>
          <w:rFonts w:ascii="楷体_GB2312" w:hAnsi="楷体_GB2312" w:eastAsia="楷体_GB2312" w:cs="楷体_GB2312"/>
          <w:b/>
          <w:bCs/>
          <w:kern w:val="2"/>
          <w:sz w:val="32"/>
          <w:szCs w:val="32"/>
        </w:rPr>
        <w:t>2.</w:t>
      </w:r>
      <w:r>
        <w:rPr>
          <w:rFonts w:hint="eastAsia" w:ascii="楷体_GB2312" w:hAnsi="楷体_GB2312" w:eastAsia="楷体_GB2312" w:cs="楷体_GB2312"/>
          <w:b/>
          <w:bCs/>
          <w:kern w:val="2"/>
          <w:sz w:val="32"/>
          <w:szCs w:val="32"/>
        </w:rPr>
        <w:t>制定标准主要内容依据</w:t>
      </w:r>
    </w:p>
    <w:p w14:paraId="5C38B8E1">
      <w:pPr>
        <w:spacing w:line="560" w:lineRule="exact"/>
        <w:ind w:firstLine="560" w:firstLineChars="200"/>
        <w:rPr>
          <w:rFonts w:ascii="宋体" w:hAnsi="仿宋" w:eastAsia="仿宋"/>
          <w:kern w:val="0"/>
          <w:sz w:val="28"/>
          <w:szCs w:val="28"/>
        </w:rPr>
      </w:pPr>
      <w:r>
        <w:rPr>
          <w:rFonts w:hint="eastAsia" w:ascii="宋体" w:hAnsi="仿宋" w:eastAsia="仿宋"/>
          <w:kern w:val="0"/>
          <w:sz w:val="28"/>
          <w:szCs w:val="28"/>
        </w:rPr>
        <w:t>本标准的相关术语表达符合最新发布的国家标准</w:t>
      </w:r>
      <w:r>
        <w:rPr>
          <w:rFonts w:ascii="宋体" w:hAnsi="仿宋" w:eastAsia="仿宋"/>
          <w:kern w:val="0"/>
          <w:sz w:val="28"/>
          <w:szCs w:val="28"/>
        </w:rPr>
        <w:t xml:space="preserve">GB/T 44584-2024 </w:t>
      </w:r>
      <w:r>
        <w:rPr>
          <w:rFonts w:hint="eastAsia" w:ascii="宋体" w:hAnsi="仿宋" w:eastAsia="仿宋"/>
          <w:kern w:val="0"/>
          <w:sz w:val="28"/>
          <w:szCs w:val="28"/>
        </w:rPr>
        <w:t>《地理标志</w:t>
      </w:r>
      <w:r>
        <w:rPr>
          <w:rFonts w:ascii="宋体" w:hAnsi="仿宋" w:eastAsia="仿宋"/>
          <w:kern w:val="0"/>
          <w:sz w:val="28"/>
          <w:szCs w:val="28"/>
        </w:rPr>
        <w:t xml:space="preserve">  </w:t>
      </w:r>
      <w:r>
        <w:rPr>
          <w:rFonts w:hint="eastAsia" w:ascii="宋体" w:hAnsi="仿宋" w:eastAsia="仿宋"/>
          <w:kern w:val="0"/>
          <w:sz w:val="28"/>
          <w:szCs w:val="28"/>
        </w:rPr>
        <w:t>基础术语》；本标准由主管单位提出，有江西省地理标志产品标准化技术委员会归口做技术支撑，相关标准所涉及内容在主管单位和标委会指导工作范围，具备较强实践工作基础。</w:t>
      </w:r>
    </w:p>
    <w:p w14:paraId="02E45C7A">
      <w:pPr>
        <w:spacing w:line="560" w:lineRule="exact"/>
        <w:ind w:firstLine="643" w:firstLineChars="200"/>
        <w:rPr>
          <w:rFonts w:ascii="楷体_GB2312" w:hAnsi="楷体_GB2312" w:eastAsia="楷体_GB2312" w:cs="楷体_GB2312"/>
          <w:b/>
          <w:bCs/>
          <w:sz w:val="32"/>
          <w:szCs w:val="32"/>
        </w:rPr>
      </w:pPr>
      <w:r>
        <w:rPr>
          <w:rFonts w:ascii="楷体_GB2312" w:hAnsi="楷体_GB2312" w:eastAsia="楷体_GB2312" w:cs="楷体_GB2312"/>
          <w:b/>
          <w:bCs/>
          <w:sz w:val="32"/>
          <w:szCs w:val="32"/>
        </w:rPr>
        <w:t>3.</w:t>
      </w:r>
      <w:r>
        <w:rPr>
          <w:rFonts w:hint="eastAsia" w:ascii="楷体_GB2312" w:hAnsi="楷体_GB2312" w:eastAsia="楷体_GB2312" w:cs="楷体_GB2312"/>
          <w:b/>
          <w:bCs/>
          <w:sz w:val="32"/>
          <w:szCs w:val="32"/>
        </w:rPr>
        <w:t>与现行法律、法规、标准的关系</w:t>
      </w:r>
    </w:p>
    <w:p w14:paraId="568870ED">
      <w:pPr>
        <w:spacing w:line="560" w:lineRule="exact"/>
        <w:ind w:firstLine="560" w:firstLineChars="200"/>
        <w:rPr>
          <w:rFonts w:ascii="宋体" w:hAnsi="仿宋" w:eastAsia="仿宋"/>
          <w:kern w:val="0"/>
          <w:sz w:val="28"/>
          <w:szCs w:val="28"/>
        </w:rPr>
      </w:pPr>
      <w:r>
        <w:rPr>
          <w:rFonts w:hint="eastAsia" w:ascii="宋体" w:hAnsi="仿宋" w:eastAsia="仿宋"/>
          <w:kern w:val="0"/>
          <w:sz w:val="28"/>
          <w:szCs w:val="28"/>
        </w:rPr>
        <w:t>经广泛调研和多方面征求意见建议，本标准有关技术要求、技术方法、性能指标等符合现行法律、法规、规章及有关强制性标准要求并具有一致性。</w:t>
      </w:r>
    </w:p>
    <w:p w14:paraId="68020FF9">
      <w:pPr>
        <w:pStyle w:val="16"/>
        <w:ind w:firstLine="640"/>
        <w:rPr>
          <w:rFonts w:hAnsi="黑体" w:eastAsia="黑体"/>
          <w:color w:val="000000"/>
          <w:sz w:val="32"/>
          <w:szCs w:val="32"/>
        </w:rPr>
      </w:pPr>
      <w:r>
        <w:rPr>
          <w:rFonts w:hint="eastAsia" w:hAnsi="黑体" w:eastAsia="黑体"/>
          <w:color w:val="000000"/>
          <w:sz w:val="32"/>
          <w:szCs w:val="32"/>
        </w:rPr>
        <w:t>五、主要条款的说明</w:t>
      </w:r>
      <w:r>
        <w:rPr>
          <w:rFonts w:hAnsi="黑体" w:eastAsia="黑体"/>
          <w:color w:val="000000"/>
          <w:sz w:val="32"/>
          <w:szCs w:val="32"/>
        </w:rPr>
        <w:t xml:space="preserve"> </w:t>
      </w:r>
    </w:p>
    <w:p w14:paraId="1EFAEE4A">
      <w:pPr>
        <w:spacing w:line="560" w:lineRule="exact"/>
        <w:ind w:firstLine="560" w:firstLineChars="200"/>
        <w:rPr>
          <w:rFonts w:ascii="宋体" w:hAnsi="仿宋" w:eastAsia="仿宋"/>
          <w:kern w:val="0"/>
          <w:sz w:val="28"/>
          <w:szCs w:val="28"/>
        </w:rPr>
      </w:pPr>
      <w:r>
        <w:rPr>
          <w:rFonts w:hint="eastAsia" w:ascii="宋体" w:hAnsi="仿宋" w:eastAsia="仿宋"/>
          <w:kern w:val="0"/>
          <w:sz w:val="28"/>
          <w:szCs w:val="28"/>
        </w:rPr>
        <w:t>本文件规定了地理标志专用标志的术语和定义、使用主体、申报程序、使用要求和日常监督管理等内容。</w:t>
      </w:r>
      <w:r>
        <w:rPr>
          <w:rFonts w:ascii="宋体" w:hAnsi="仿宋" w:eastAsia="仿宋"/>
          <w:kern w:val="0"/>
          <w:sz w:val="28"/>
          <w:szCs w:val="28"/>
        </w:rPr>
        <w:t xml:space="preserve"> </w:t>
      </w:r>
    </w:p>
    <w:p w14:paraId="5737A991">
      <w:pPr>
        <w:spacing w:line="560" w:lineRule="exact"/>
        <w:ind w:firstLine="560" w:firstLineChars="200"/>
        <w:rPr>
          <w:rFonts w:ascii="宋体" w:hAnsi="仿宋" w:eastAsia="仿宋"/>
          <w:kern w:val="0"/>
          <w:sz w:val="28"/>
          <w:szCs w:val="28"/>
        </w:rPr>
      </w:pPr>
      <w:r>
        <w:rPr>
          <w:rFonts w:hint="eastAsia" w:ascii="宋体" w:hAnsi="仿宋" w:eastAsia="仿宋"/>
          <w:kern w:val="0"/>
          <w:sz w:val="28"/>
          <w:szCs w:val="28"/>
        </w:rPr>
        <w:t>本文件适用于地理标志产品、作为集体商标或证明商标注册的地理标志申报使用地理标志专用标志及其保护管理。</w:t>
      </w:r>
    </w:p>
    <w:p w14:paraId="0B1E93B3">
      <w:pPr>
        <w:ind w:firstLine="640" w:firstLineChars="200"/>
        <w:rPr>
          <w:rFonts w:hAnsi="黑体" w:eastAsia="黑体"/>
          <w:sz w:val="32"/>
          <w:szCs w:val="32"/>
        </w:rPr>
      </w:pPr>
      <w:r>
        <w:rPr>
          <w:rFonts w:hint="eastAsia" w:hAnsi="黑体" w:eastAsia="黑体"/>
          <w:sz w:val="32"/>
          <w:szCs w:val="32"/>
        </w:rPr>
        <w:t>六、重大意见分歧的处理依据和结果</w:t>
      </w:r>
    </w:p>
    <w:p w14:paraId="527D7073">
      <w:pPr>
        <w:spacing w:line="560" w:lineRule="exact"/>
        <w:ind w:firstLine="560" w:firstLineChars="200"/>
        <w:rPr>
          <w:rFonts w:ascii="宋体" w:hAnsi="仿宋" w:eastAsia="仿宋"/>
          <w:kern w:val="0"/>
          <w:sz w:val="28"/>
          <w:szCs w:val="28"/>
        </w:rPr>
      </w:pPr>
      <w:r>
        <w:rPr>
          <w:rFonts w:hint="eastAsia" w:ascii="宋体" w:hAnsi="仿宋" w:eastAsia="仿宋"/>
          <w:kern w:val="0"/>
          <w:sz w:val="28"/>
          <w:szCs w:val="28"/>
        </w:rPr>
        <w:t>无</w:t>
      </w:r>
    </w:p>
    <w:p w14:paraId="2DB4EA74">
      <w:pPr>
        <w:ind w:firstLine="640" w:firstLineChars="200"/>
        <w:rPr>
          <w:rFonts w:hAnsi="黑体" w:eastAsia="黑体"/>
          <w:sz w:val="32"/>
          <w:szCs w:val="32"/>
        </w:rPr>
      </w:pPr>
      <w:r>
        <w:rPr>
          <w:rFonts w:hint="eastAsia" w:hAnsi="黑体" w:eastAsia="黑体"/>
          <w:sz w:val="32"/>
          <w:szCs w:val="32"/>
        </w:rPr>
        <w:t>七、贯彻标准的措施建议</w:t>
      </w:r>
    </w:p>
    <w:p w14:paraId="7BD0BC56">
      <w:pPr>
        <w:adjustRightInd w:val="0"/>
        <w:snapToGrid w:val="0"/>
        <w:spacing w:line="360" w:lineRule="auto"/>
        <w:ind w:firstLine="560" w:firstLineChars="200"/>
        <w:rPr>
          <w:rFonts w:ascii="仿宋" w:hAnsi="仿宋" w:eastAsia="仿宋"/>
          <w:sz w:val="28"/>
          <w:szCs w:val="28"/>
        </w:rPr>
      </w:pPr>
      <w:r>
        <w:rPr>
          <w:rFonts w:hint="eastAsia" w:ascii="仿宋" w:hAnsi="仿宋" w:eastAsia="仿宋"/>
          <w:sz w:val="28"/>
          <w:szCs w:val="28"/>
        </w:rPr>
        <w:t>加强指导：省、市等各级市场监管部门积极发挥作用，如南昌县市监局联合市市监局主动上门为企业申请地理标志专用标志的使用和管理进行指导；</w:t>
      </w:r>
    </w:p>
    <w:p w14:paraId="0AE57A2F">
      <w:pPr>
        <w:adjustRightInd w:val="0"/>
        <w:snapToGrid w:val="0"/>
        <w:spacing w:line="360" w:lineRule="auto"/>
        <w:ind w:firstLine="560" w:firstLineChars="200"/>
        <w:rPr>
          <w:rFonts w:ascii="仿宋" w:hAnsi="仿宋" w:eastAsia="仿宋"/>
          <w:sz w:val="28"/>
          <w:szCs w:val="28"/>
        </w:rPr>
      </w:pPr>
      <w:r>
        <w:rPr>
          <w:rFonts w:hint="eastAsia" w:ascii="仿宋" w:hAnsi="仿宋" w:eastAsia="仿宋"/>
          <w:sz w:val="28"/>
          <w:szCs w:val="28"/>
        </w:rPr>
        <w:t>组织培训：发挥省地理标志产品标准化技术委员会技术支撑作用，指导协调相关市局积极选拔组织企业申报，并对企业开展业务培训，一对一指导企业开展申报工作；</w:t>
      </w:r>
    </w:p>
    <w:p w14:paraId="24E8C698">
      <w:pPr>
        <w:adjustRightInd w:val="0"/>
        <w:snapToGrid w:val="0"/>
        <w:spacing w:line="360" w:lineRule="auto"/>
        <w:ind w:firstLine="560" w:firstLineChars="200"/>
        <w:rPr>
          <w:rFonts w:ascii="仿宋" w:hAnsi="仿宋" w:eastAsia="仿宋"/>
          <w:sz w:val="28"/>
          <w:szCs w:val="28"/>
        </w:rPr>
      </w:pPr>
      <w:r>
        <w:rPr>
          <w:rFonts w:hint="eastAsia" w:ascii="仿宋" w:hAnsi="仿宋" w:eastAsia="仿宋"/>
          <w:sz w:val="28"/>
          <w:szCs w:val="28"/>
        </w:rPr>
        <w:t>监管保护：开展地理标志产品专用标志规范使用专项整治工作，加大对违规使用地理标志产品专用标志的打击力度，组织排查生产经营企业，健全网络交易平台治理机制，宣传法律法规，处理侵权假冒举报投诉。</w:t>
      </w:r>
    </w:p>
    <w:p w14:paraId="4FF24BA7">
      <w:pPr>
        <w:ind w:firstLine="640" w:firstLineChars="200"/>
        <w:rPr>
          <w:rFonts w:hAnsi="黑体" w:eastAsia="黑体"/>
          <w:sz w:val="32"/>
          <w:szCs w:val="32"/>
        </w:rPr>
      </w:pPr>
      <w:r>
        <w:rPr>
          <w:rFonts w:hint="eastAsia" w:hAnsi="黑体" w:eastAsia="黑体"/>
          <w:sz w:val="32"/>
          <w:szCs w:val="32"/>
        </w:rPr>
        <w:t>八、其他应说明的事项</w:t>
      </w:r>
    </w:p>
    <w:p w14:paraId="71F3522C">
      <w:pPr>
        <w:adjustRightInd w:val="0"/>
        <w:snapToGrid w:val="0"/>
        <w:spacing w:line="360" w:lineRule="auto"/>
        <w:ind w:firstLine="560" w:firstLineChars="200"/>
        <w:rPr>
          <w:rFonts w:ascii="仿宋" w:hAnsi="仿宋" w:eastAsia="仿宋"/>
          <w:sz w:val="28"/>
          <w:szCs w:val="28"/>
        </w:rPr>
      </w:pPr>
      <w:r>
        <w:rPr>
          <w:rFonts w:hint="eastAsia" w:ascii="仿宋" w:hAnsi="仿宋" w:eastAsia="仿宋"/>
          <w:sz w:val="28"/>
          <w:szCs w:val="28"/>
        </w:rPr>
        <w:t>此外，在标准制定期间，工作组得到了许多专家和相关企业领导、同仁们的大力支持和帮助，在此一并表示衷心感谢！由于受经费、时间以及其他条件所限，工作中可能存在的问题，希望各位专家和领导批评指正。</w:t>
      </w:r>
    </w:p>
    <w:p w14:paraId="53608ADA">
      <w:pPr>
        <w:adjustRightInd w:val="0"/>
        <w:snapToGrid w:val="0"/>
        <w:spacing w:line="360" w:lineRule="auto"/>
        <w:ind w:firstLine="560" w:firstLineChars="200"/>
        <w:rPr>
          <w:rFonts w:ascii="仿宋" w:hAnsi="仿宋" w:eastAsia="仿宋"/>
          <w:sz w:val="28"/>
          <w:szCs w:val="28"/>
        </w:rPr>
      </w:pPr>
    </w:p>
    <w:p w14:paraId="04B87548">
      <w:pPr>
        <w:adjustRightInd w:val="0"/>
        <w:snapToGrid w:val="0"/>
        <w:spacing w:line="360" w:lineRule="auto"/>
        <w:ind w:firstLine="560" w:firstLineChars="200"/>
        <w:rPr>
          <w:rFonts w:ascii="仿宋" w:hAnsi="仿宋" w:eastAsia="仿宋"/>
          <w:sz w:val="28"/>
          <w:szCs w:val="28"/>
        </w:rPr>
      </w:pPr>
    </w:p>
    <w:p w14:paraId="3FE7051A">
      <w:pPr>
        <w:adjustRightInd w:val="0"/>
        <w:snapToGrid w:val="0"/>
        <w:spacing w:line="360" w:lineRule="auto"/>
        <w:rPr>
          <w:rFonts w:eastAsia="仿宋_GB2312"/>
          <w:color w:val="000000"/>
          <w:sz w:val="32"/>
          <w:szCs w:val="32"/>
        </w:rPr>
      </w:pPr>
      <w:r>
        <w:rPr>
          <w:rFonts w:eastAsia="仿宋_GB2312"/>
          <w:sz w:val="32"/>
          <w:szCs w:val="32"/>
        </w:rPr>
        <w:t xml:space="preserve">      </w:t>
      </w:r>
      <w:r>
        <w:rPr>
          <w:rFonts w:hint="eastAsia" w:eastAsia="仿宋_GB2312"/>
          <w:color w:val="000000"/>
          <w:sz w:val="32"/>
          <w:szCs w:val="32"/>
        </w:rPr>
        <w:t>《</w:t>
      </w:r>
      <w:r>
        <w:rPr>
          <w:rFonts w:hint="eastAsia" w:ascii="仿宋_GB2312" w:hAnsi="仿宋_GB2312" w:eastAsia="仿宋_GB2312" w:cs="仿宋_GB2312"/>
          <w:sz w:val="32"/>
          <w:szCs w:val="32"/>
        </w:rPr>
        <w:t>地理标志专用标志申报和使用规范</w:t>
      </w:r>
      <w:r>
        <w:rPr>
          <w:rFonts w:hint="eastAsia" w:eastAsia="仿宋_GB2312"/>
          <w:color w:val="000000"/>
          <w:sz w:val="32"/>
          <w:szCs w:val="32"/>
        </w:rPr>
        <w:t>》标准起草小组</w:t>
      </w:r>
    </w:p>
    <w:p w14:paraId="06AE1D67">
      <w:pPr>
        <w:adjustRightInd w:val="0"/>
        <w:snapToGrid w:val="0"/>
        <w:spacing w:line="360" w:lineRule="auto"/>
        <w:ind w:firstLine="640" w:firstLineChars="200"/>
        <w:jc w:val="right"/>
        <w:rPr>
          <w:sz w:val="24"/>
        </w:rPr>
      </w:pPr>
      <w:r>
        <w:rPr>
          <w:rFonts w:eastAsia="仿宋_GB2312"/>
          <w:sz w:val="32"/>
          <w:szCs w:val="32"/>
        </w:rPr>
        <w:t xml:space="preserve"> 2025</w:t>
      </w:r>
      <w:r>
        <w:rPr>
          <w:rFonts w:hint="eastAsia" w:eastAsia="仿宋_GB2312"/>
          <w:sz w:val="32"/>
          <w:szCs w:val="32"/>
        </w:rPr>
        <w:t>年</w:t>
      </w:r>
      <w:r>
        <w:rPr>
          <w:rFonts w:eastAsia="仿宋_GB2312"/>
          <w:sz w:val="32"/>
          <w:szCs w:val="32"/>
        </w:rPr>
        <w:t>1</w:t>
      </w:r>
      <w:r>
        <w:rPr>
          <w:rFonts w:hint="eastAsia" w:eastAsia="仿宋_GB2312"/>
          <w:sz w:val="32"/>
          <w:szCs w:val="32"/>
        </w:rPr>
        <w:t>月</w:t>
      </w:r>
      <w:r>
        <w:rPr>
          <w:rFonts w:eastAsia="仿宋_GB2312"/>
          <w:sz w:val="32"/>
          <w:szCs w:val="32"/>
        </w:rPr>
        <w:t>7</w:t>
      </w:r>
      <w:r>
        <w:rPr>
          <w:rFonts w:hint="eastAsia" w:eastAsia="仿宋_GB2312"/>
          <w:sz w:val="32"/>
          <w:szCs w:val="32"/>
        </w:rPr>
        <w:t>日</w:t>
      </w:r>
    </w:p>
    <w:sectPr>
      <w:headerReference r:id="rId3" w:type="default"/>
      <w:pgSz w:w="11906" w:h="16838"/>
      <w:pgMar w:top="1440" w:right="1800" w:bottom="1440" w:left="1800" w:header="851" w:footer="992" w:gutter="0"/>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99AE065-44CB-4525-A409-1A6BE4EB2BD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script"/>
    <w:pitch w:val="default"/>
    <w:sig w:usb0="00000001" w:usb1="08000000" w:usb2="00000000" w:usb3="00000000" w:csb0="00040000" w:csb1="00000000"/>
    <w:embedRegular r:id="rId2" w:fontKey="{1D2B88FF-F70E-4330-BD39-90AB2C09AC66}"/>
  </w:font>
  <w:font w:name="仿宋">
    <w:panose1 w:val="02010609060101010101"/>
    <w:charset w:val="86"/>
    <w:family w:val="modern"/>
    <w:pitch w:val="default"/>
    <w:sig w:usb0="800002BF" w:usb1="38CF7CFA" w:usb2="00000016" w:usb3="00000000" w:csb0="00040001" w:csb1="00000000"/>
    <w:embedRegular r:id="rId3" w:fontKey="{68DC1746-728C-4B51-BD00-D4201FB2D0BB}"/>
  </w:font>
  <w:font w:name="楷体_GB2312">
    <w:altName w:val="楷体"/>
    <w:panose1 w:val="00000000000000000000"/>
    <w:charset w:val="86"/>
    <w:family w:val="modern"/>
    <w:pitch w:val="default"/>
    <w:sig w:usb0="00000000" w:usb1="00000000" w:usb2="00000010" w:usb3="00000000" w:csb0="00040000" w:csb1="00000000"/>
    <w:embedRegular r:id="rId4" w:fontKey="{58B5F6FD-61E9-49D8-8AAF-2DF8D27D3459}"/>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embedRegular r:id="rId5" w:fontKey="{0952ACFF-1C62-407C-A4DC-A36792A17BDF}"/>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0ACE8C">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jIzZDE0N2FmNzBlNTAwODMxODQ5ZWM3MzYzZDBiNjEifQ=="/>
  </w:docVars>
  <w:rsids>
    <w:rsidRoot w:val="008F7F5A"/>
    <w:rsid w:val="0000570B"/>
    <w:rsid w:val="00006ACD"/>
    <w:rsid w:val="000126EC"/>
    <w:rsid w:val="00015320"/>
    <w:rsid w:val="00022147"/>
    <w:rsid w:val="00023EAA"/>
    <w:rsid w:val="00025FB5"/>
    <w:rsid w:val="00037B88"/>
    <w:rsid w:val="0004051F"/>
    <w:rsid w:val="000512FB"/>
    <w:rsid w:val="000518D5"/>
    <w:rsid w:val="00052805"/>
    <w:rsid w:val="0005499C"/>
    <w:rsid w:val="00066DA7"/>
    <w:rsid w:val="00067AC1"/>
    <w:rsid w:val="00086A76"/>
    <w:rsid w:val="0008786C"/>
    <w:rsid w:val="00087CE4"/>
    <w:rsid w:val="000905EA"/>
    <w:rsid w:val="00091250"/>
    <w:rsid w:val="00091B95"/>
    <w:rsid w:val="00093921"/>
    <w:rsid w:val="00096C14"/>
    <w:rsid w:val="000A2D71"/>
    <w:rsid w:val="000B4431"/>
    <w:rsid w:val="000C40CB"/>
    <w:rsid w:val="000C49C4"/>
    <w:rsid w:val="000C5CF0"/>
    <w:rsid w:val="000C614C"/>
    <w:rsid w:val="000D00A2"/>
    <w:rsid w:val="000D16BC"/>
    <w:rsid w:val="000D408B"/>
    <w:rsid w:val="000E4CEF"/>
    <w:rsid w:val="000E56CA"/>
    <w:rsid w:val="000F1FE2"/>
    <w:rsid w:val="000F5872"/>
    <w:rsid w:val="001048CD"/>
    <w:rsid w:val="00105D50"/>
    <w:rsid w:val="00107A40"/>
    <w:rsid w:val="00115BED"/>
    <w:rsid w:val="0011741C"/>
    <w:rsid w:val="001222E2"/>
    <w:rsid w:val="00126930"/>
    <w:rsid w:val="00132B2E"/>
    <w:rsid w:val="001366EA"/>
    <w:rsid w:val="00143732"/>
    <w:rsid w:val="00145343"/>
    <w:rsid w:val="0014677F"/>
    <w:rsid w:val="00157DC7"/>
    <w:rsid w:val="0016177E"/>
    <w:rsid w:val="00163501"/>
    <w:rsid w:val="00164FD5"/>
    <w:rsid w:val="001666CC"/>
    <w:rsid w:val="001668EE"/>
    <w:rsid w:val="001834F0"/>
    <w:rsid w:val="001927B1"/>
    <w:rsid w:val="001941F7"/>
    <w:rsid w:val="00196917"/>
    <w:rsid w:val="001A4A5F"/>
    <w:rsid w:val="001A72CF"/>
    <w:rsid w:val="001B04F3"/>
    <w:rsid w:val="001B16DA"/>
    <w:rsid w:val="001B6A8B"/>
    <w:rsid w:val="001C064A"/>
    <w:rsid w:val="001D0081"/>
    <w:rsid w:val="001D1E55"/>
    <w:rsid w:val="001D57EB"/>
    <w:rsid w:val="001D7852"/>
    <w:rsid w:val="001E3460"/>
    <w:rsid w:val="001E583B"/>
    <w:rsid w:val="001E66EC"/>
    <w:rsid w:val="00204322"/>
    <w:rsid w:val="0021052C"/>
    <w:rsid w:val="002155FD"/>
    <w:rsid w:val="00223F0B"/>
    <w:rsid w:val="00241EBF"/>
    <w:rsid w:val="00243947"/>
    <w:rsid w:val="002478AC"/>
    <w:rsid w:val="002605C6"/>
    <w:rsid w:val="00271DF0"/>
    <w:rsid w:val="002851FE"/>
    <w:rsid w:val="002965C3"/>
    <w:rsid w:val="002A22F7"/>
    <w:rsid w:val="002A2D79"/>
    <w:rsid w:val="002A5C9B"/>
    <w:rsid w:val="002A7485"/>
    <w:rsid w:val="002B361D"/>
    <w:rsid w:val="002D13C8"/>
    <w:rsid w:val="002D20B2"/>
    <w:rsid w:val="002D3943"/>
    <w:rsid w:val="002D6A63"/>
    <w:rsid w:val="002E2F24"/>
    <w:rsid w:val="002E56D5"/>
    <w:rsid w:val="002E5E92"/>
    <w:rsid w:val="002F0844"/>
    <w:rsid w:val="002F0CAF"/>
    <w:rsid w:val="002F2DD5"/>
    <w:rsid w:val="002F63B9"/>
    <w:rsid w:val="00304E67"/>
    <w:rsid w:val="00305C78"/>
    <w:rsid w:val="00314BFE"/>
    <w:rsid w:val="0031539B"/>
    <w:rsid w:val="00323AD1"/>
    <w:rsid w:val="00330C29"/>
    <w:rsid w:val="00337321"/>
    <w:rsid w:val="00342C30"/>
    <w:rsid w:val="00343AF8"/>
    <w:rsid w:val="00345E60"/>
    <w:rsid w:val="003462A8"/>
    <w:rsid w:val="0035090B"/>
    <w:rsid w:val="003615A4"/>
    <w:rsid w:val="0036411E"/>
    <w:rsid w:val="003B35EF"/>
    <w:rsid w:val="003C776E"/>
    <w:rsid w:val="003D4E3F"/>
    <w:rsid w:val="003D5F11"/>
    <w:rsid w:val="003D6204"/>
    <w:rsid w:val="003D7B1C"/>
    <w:rsid w:val="003E42E8"/>
    <w:rsid w:val="003F26B1"/>
    <w:rsid w:val="00401D3D"/>
    <w:rsid w:val="004046E0"/>
    <w:rsid w:val="00415A12"/>
    <w:rsid w:val="00415D8D"/>
    <w:rsid w:val="00416247"/>
    <w:rsid w:val="00424B82"/>
    <w:rsid w:val="00427AE9"/>
    <w:rsid w:val="00435ED2"/>
    <w:rsid w:val="004414B8"/>
    <w:rsid w:val="00447DC9"/>
    <w:rsid w:val="00470666"/>
    <w:rsid w:val="00472983"/>
    <w:rsid w:val="004748DC"/>
    <w:rsid w:val="00484204"/>
    <w:rsid w:val="00490F5B"/>
    <w:rsid w:val="004A2CAB"/>
    <w:rsid w:val="004B28D7"/>
    <w:rsid w:val="004B5EC4"/>
    <w:rsid w:val="004B6C10"/>
    <w:rsid w:val="004C3840"/>
    <w:rsid w:val="004D0DB7"/>
    <w:rsid w:val="004D2D1C"/>
    <w:rsid w:val="004D6EF1"/>
    <w:rsid w:val="004E2591"/>
    <w:rsid w:val="004E51FC"/>
    <w:rsid w:val="004E6456"/>
    <w:rsid w:val="004F306C"/>
    <w:rsid w:val="004F375C"/>
    <w:rsid w:val="005157C8"/>
    <w:rsid w:val="00521306"/>
    <w:rsid w:val="0053270F"/>
    <w:rsid w:val="00542755"/>
    <w:rsid w:val="0054508A"/>
    <w:rsid w:val="005640AC"/>
    <w:rsid w:val="005656A0"/>
    <w:rsid w:val="00566086"/>
    <w:rsid w:val="005823D1"/>
    <w:rsid w:val="005A4DF8"/>
    <w:rsid w:val="005A4E3C"/>
    <w:rsid w:val="005A61B4"/>
    <w:rsid w:val="005B3206"/>
    <w:rsid w:val="005C0863"/>
    <w:rsid w:val="005D7ECF"/>
    <w:rsid w:val="005E0C8C"/>
    <w:rsid w:val="005F07A0"/>
    <w:rsid w:val="005F1BEE"/>
    <w:rsid w:val="005F47EA"/>
    <w:rsid w:val="006039AF"/>
    <w:rsid w:val="00611510"/>
    <w:rsid w:val="00611D17"/>
    <w:rsid w:val="00614B7C"/>
    <w:rsid w:val="006174B2"/>
    <w:rsid w:val="00631025"/>
    <w:rsid w:val="00637C28"/>
    <w:rsid w:val="00651480"/>
    <w:rsid w:val="00667228"/>
    <w:rsid w:val="0067140A"/>
    <w:rsid w:val="00671DAA"/>
    <w:rsid w:val="00685D4A"/>
    <w:rsid w:val="00687501"/>
    <w:rsid w:val="006B3AAD"/>
    <w:rsid w:val="006B3C43"/>
    <w:rsid w:val="006B5E54"/>
    <w:rsid w:val="006C0AF3"/>
    <w:rsid w:val="006C2A28"/>
    <w:rsid w:val="006C72EB"/>
    <w:rsid w:val="006D3DD9"/>
    <w:rsid w:val="006D4317"/>
    <w:rsid w:val="006D44D7"/>
    <w:rsid w:val="006E555E"/>
    <w:rsid w:val="006E6280"/>
    <w:rsid w:val="006E724C"/>
    <w:rsid w:val="006F2CA0"/>
    <w:rsid w:val="0070147B"/>
    <w:rsid w:val="00703461"/>
    <w:rsid w:val="0070346F"/>
    <w:rsid w:val="0070715E"/>
    <w:rsid w:val="00707DAD"/>
    <w:rsid w:val="0071222A"/>
    <w:rsid w:val="007204C4"/>
    <w:rsid w:val="00724231"/>
    <w:rsid w:val="00732BE3"/>
    <w:rsid w:val="00740133"/>
    <w:rsid w:val="0076141E"/>
    <w:rsid w:val="007635D1"/>
    <w:rsid w:val="00766AF3"/>
    <w:rsid w:val="00767017"/>
    <w:rsid w:val="00772666"/>
    <w:rsid w:val="00791F47"/>
    <w:rsid w:val="0079631A"/>
    <w:rsid w:val="007963D1"/>
    <w:rsid w:val="007A220B"/>
    <w:rsid w:val="007A2600"/>
    <w:rsid w:val="007A74CC"/>
    <w:rsid w:val="007B1810"/>
    <w:rsid w:val="007B7428"/>
    <w:rsid w:val="007C3800"/>
    <w:rsid w:val="007C4560"/>
    <w:rsid w:val="007C471E"/>
    <w:rsid w:val="007C550A"/>
    <w:rsid w:val="007C680E"/>
    <w:rsid w:val="007E0A61"/>
    <w:rsid w:val="007E19BF"/>
    <w:rsid w:val="007E1F75"/>
    <w:rsid w:val="007E6541"/>
    <w:rsid w:val="007F0946"/>
    <w:rsid w:val="007F7169"/>
    <w:rsid w:val="00807254"/>
    <w:rsid w:val="008153B3"/>
    <w:rsid w:val="00824C93"/>
    <w:rsid w:val="00827561"/>
    <w:rsid w:val="008367E1"/>
    <w:rsid w:val="008429DD"/>
    <w:rsid w:val="00843668"/>
    <w:rsid w:val="00846AC4"/>
    <w:rsid w:val="00850A6F"/>
    <w:rsid w:val="0085269E"/>
    <w:rsid w:val="0085562A"/>
    <w:rsid w:val="00860C36"/>
    <w:rsid w:val="00862A9F"/>
    <w:rsid w:val="00862D7F"/>
    <w:rsid w:val="00873251"/>
    <w:rsid w:val="0088102C"/>
    <w:rsid w:val="00882853"/>
    <w:rsid w:val="00883D52"/>
    <w:rsid w:val="008A4A26"/>
    <w:rsid w:val="008B35E0"/>
    <w:rsid w:val="008B6F32"/>
    <w:rsid w:val="008B7239"/>
    <w:rsid w:val="008C1265"/>
    <w:rsid w:val="008C3098"/>
    <w:rsid w:val="008C7558"/>
    <w:rsid w:val="008D07FE"/>
    <w:rsid w:val="008D09F3"/>
    <w:rsid w:val="008D2EA2"/>
    <w:rsid w:val="008D3345"/>
    <w:rsid w:val="008D4711"/>
    <w:rsid w:val="008E1EE1"/>
    <w:rsid w:val="008E3007"/>
    <w:rsid w:val="008E3CDB"/>
    <w:rsid w:val="008F4D3E"/>
    <w:rsid w:val="008F61A8"/>
    <w:rsid w:val="008F685A"/>
    <w:rsid w:val="008F7F5A"/>
    <w:rsid w:val="00900359"/>
    <w:rsid w:val="009024E9"/>
    <w:rsid w:val="0090278B"/>
    <w:rsid w:val="0091593F"/>
    <w:rsid w:val="0092600C"/>
    <w:rsid w:val="00927764"/>
    <w:rsid w:val="00927DCF"/>
    <w:rsid w:val="00933C35"/>
    <w:rsid w:val="00934F5B"/>
    <w:rsid w:val="00937B62"/>
    <w:rsid w:val="009404FB"/>
    <w:rsid w:val="00945D8C"/>
    <w:rsid w:val="009512D8"/>
    <w:rsid w:val="0095429E"/>
    <w:rsid w:val="00956C12"/>
    <w:rsid w:val="009650D9"/>
    <w:rsid w:val="00972210"/>
    <w:rsid w:val="00983A83"/>
    <w:rsid w:val="00984356"/>
    <w:rsid w:val="00984DAB"/>
    <w:rsid w:val="009858B8"/>
    <w:rsid w:val="00991AAE"/>
    <w:rsid w:val="0099214D"/>
    <w:rsid w:val="009925E9"/>
    <w:rsid w:val="0099635E"/>
    <w:rsid w:val="009A7F70"/>
    <w:rsid w:val="009C1923"/>
    <w:rsid w:val="009C5D20"/>
    <w:rsid w:val="009C686A"/>
    <w:rsid w:val="009D129F"/>
    <w:rsid w:val="009D59E9"/>
    <w:rsid w:val="009D7CD3"/>
    <w:rsid w:val="009E470E"/>
    <w:rsid w:val="009E794D"/>
    <w:rsid w:val="009F3848"/>
    <w:rsid w:val="009F65DB"/>
    <w:rsid w:val="00A2033D"/>
    <w:rsid w:val="00A21A67"/>
    <w:rsid w:val="00A221B7"/>
    <w:rsid w:val="00A24F28"/>
    <w:rsid w:val="00A30BBE"/>
    <w:rsid w:val="00A328C3"/>
    <w:rsid w:val="00A4191D"/>
    <w:rsid w:val="00A431E6"/>
    <w:rsid w:val="00A60D04"/>
    <w:rsid w:val="00A6254C"/>
    <w:rsid w:val="00A6425C"/>
    <w:rsid w:val="00A76BAA"/>
    <w:rsid w:val="00A77BE1"/>
    <w:rsid w:val="00A82733"/>
    <w:rsid w:val="00A85B95"/>
    <w:rsid w:val="00A87224"/>
    <w:rsid w:val="00A9187B"/>
    <w:rsid w:val="00A93EB5"/>
    <w:rsid w:val="00A94314"/>
    <w:rsid w:val="00A97A41"/>
    <w:rsid w:val="00AB42A0"/>
    <w:rsid w:val="00AB5638"/>
    <w:rsid w:val="00AB67F2"/>
    <w:rsid w:val="00AE6FDA"/>
    <w:rsid w:val="00AF02D7"/>
    <w:rsid w:val="00AF2442"/>
    <w:rsid w:val="00AF4A21"/>
    <w:rsid w:val="00AF4F1B"/>
    <w:rsid w:val="00AF65B8"/>
    <w:rsid w:val="00AF6761"/>
    <w:rsid w:val="00B15536"/>
    <w:rsid w:val="00B15B4A"/>
    <w:rsid w:val="00B16862"/>
    <w:rsid w:val="00B16F4D"/>
    <w:rsid w:val="00B23EB6"/>
    <w:rsid w:val="00B2478A"/>
    <w:rsid w:val="00B325C3"/>
    <w:rsid w:val="00B348EC"/>
    <w:rsid w:val="00B42EB4"/>
    <w:rsid w:val="00B470F6"/>
    <w:rsid w:val="00B579E0"/>
    <w:rsid w:val="00B739EB"/>
    <w:rsid w:val="00B83C5A"/>
    <w:rsid w:val="00B90BB3"/>
    <w:rsid w:val="00BA0D49"/>
    <w:rsid w:val="00BA4781"/>
    <w:rsid w:val="00BB0A71"/>
    <w:rsid w:val="00BB1813"/>
    <w:rsid w:val="00BB6E87"/>
    <w:rsid w:val="00BB70C3"/>
    <w:rsid w:val="00BC3AF7"/>
    <w:rsid w:val="00BD0E59"/>
    <w:rsid w:val="00BD21E3"/>
    <w:rsid w:val="00BD66BB"/>
    <w:rsid w:val="00BE70EB"/>
    <w:rsid w:val="00BE798B"/>
    <w:rsid w:val="00BF06A0"/>
    <w:rsid w:val="00BF4955"/>
    <w:rsid w:val="00C02305"/>
    <w:rsid w:val="00C21070"/>
    <w:rsid w:val="00C274BB"/>
    <w:rsid w:val="00C278ED"/>
    <w:rsid w:val="00C32726"/>
    <w:rsid w:val="00C34287"/>
    <w:rsid w:val="00C415B5"/>
    <w:rsid w:val="00C439E8"/>
    <w:rsid w:val="00C544B7"/>
    <w:rsid w:val="00C552E5"/>
    <w:rsid w:val="00C71E52"/>
    <w:rsid w:val="00C92673"/>
    <w:rsid w:val="00CA070D"/>
    <w:rsid w:val="00CB471D"/>
    <w:rsid w:val="00CB65DA"/>
    <w:rsid w:val="00CB6B6E"/>
    <w:rsid w:val="00CC3109"/>
    <w:rsid w:val="00CC79CF"/>
    <w:rsid w:val="00CD308A"/>
    <w:rsid w:val="00CD3701"/>
    <w:rsid w:val="00CD7236"/>
    <w:rsid w:val="00CE5B4A"/>
    <w:rsid w:val="00CF340D"/>
    <w:rsid w:val="00CF5865"/>
    <w:rsid w:val="00D00CA5"/>
    <w:rsid w:val="00D025B3"/>
    <w:rsid w:val="00D03E69"/>
    <w:rsid w:val="00D12D6C"/>
    <w:rsid w:val="00D17E89"/>
    <w:rsid w:val="00D26967"/>
    <w:rsid w:val="00D31DE0"/>
    <w:rsid w:val="00D3735F"/>
    <w:rsid w:val="00D40499"/>
    <w:rsid w:val="00D52767"/>
    <w:rsid w:val="00D54FF2"/>
    <w:rsid w:val="00D72A88"/>
    <w:rsid w:val="00D816CE"/>
    <w:rsid w:val="00D8543D"/>
    <w:rsid w:val="00D87D45"/>
    <w:rsid w:val="00D91172"/>
    <w:rsid w:val="00D95B0E"/>
    <w:rsid w:val="00D96BDB"/>
    <w:rsid w:val="00DA4806"/>
    <w:rsid w:val="00DB1258"/>
    <w:rsid w:val="00DB431F"/>
    <w:rsid w:val="00DB4F94"/>
    <w:rsid w:val="00DB7BF9"/>
    <w:rsid w:val="00DC148E"/>
    <w:rsid w:val="00DE1EE8"/>
    <w:rsid w:val="00DE7983"/>
    <w:rsid w:val="00E15ED9"/>
    <w:rsid w:val="00E33144"/>
    <w:rsid w:val="00E33D88"/>
    <w:rsid w:val="00E36B72"/>
    <w:rsid w:val="00E37F07"/>
    <w:rsid w:val="00E46928"/>
    <w:rsid w:val="00E47D39"/>
    <w:rsid w:val="00E565F5"/>
    <w:rsid w:val="00E573C0"/>
    <w:rsid w:val="00E579A8"/>
    <w:rsid w:val="00E60CA9"/>
    <w:rsid w:val="00E633ED"/>
    <w:rsid w:val="00E6477A"/>
    <w:rsid w:val="00E72715"/>
    <w:rsid w:val="00E91A73"/>
    <w:rsid w:val="00E95E19"/>
    <w:rsid w:val="00E97B11"/>
    <w:rsid w:val="00EC28B4"/>
    <w:rsid w:val="00EC2B41"/>
    <w:rsid w:val="00EC403B"/>
    <w:rsid w:val="00EC458B"/>
    <w:rsid w:val="00EC500F"/>
    <w:rsid w:val="00EC7457"/>
    <w:rsid w:val="00ED19F7"/>
    <w:rsid w:val="00ED3128"/>
    <w:rsid w:val="00ED5425"/>
    <w:rsid w:val="00EE2FBF"/>
    <w:rsid w:val="00EE36F8"/>
    <w:rsid w:val="00EE6967"/>
    <w:rsid w:val="00EF0D82"/>
    <w:rsid w:val="00EF3E8A"/>
    <w:rsid w:val="00F00CF3"/>
    <w:rsid w:val="00F14D91"/>
    <w:rsid w:val="00F164E6"/>
    <w:rsid w:val="00F21690"/>
    <w:rsid w:val="00F27BD6"/>
    <w:rsid w:val="00F33260"/>
    <w:rsid w:val="00F34FC5"/>
    <w:rsid w:val="00F426AB"/>
    <w:rsid w:val="00F4670A"/>
    <w:rsid w:val="00F53FC8"/>
    <w:rsid w:val="00F613B5"/>
    <w:rsid w:val="00F67633"/>
    <w:rsid w:val="00F837A9"/>
    <w:rsid w:val="00F842D8"/>
    <w:rsid w:val="00F86F65"/>
    <w:rsid w:val="00F94BDA"/>
    <w:rsid w:val="00FC0CC1"/>
    <w:rsid w:val="00FC2D87"/>
    <w:rsid w:val="00FC6880"/>
    <w:rsid w:val="00FC69EE"/>
    <w:rsid w:val="00FE73DD"/>
    <w:rsid w:val="00FF11A6"/>
    <w:rsid w:val="00FF4271"/>
    <w:rsid w:val="00FF7C7A"/>
    <w:rsid w:val="07157A8D"/>
    <w:rsid w:val="0E603C3C"/>
    <w:rsid w:val="187D1304"/>
    <w:rsid w:val="1E025BF3"/>
    <w:rsid w:val="23DC4B30"/>
    <w:rsid w:val="25B6542E"/>
    <w:rsid w:val="27E2170E"/>
    <w:rsid w:val="2C7C270D"/>
    <w:rsid w:val="32A92B23"/>
    <w:rsid w:val="362E5813"/>
    <w:rsid w:val="3AAA4E76"/>
    <w:rsid w:val="3FDD16B7"/>
    <w:rsid w:val="4B295EE7"/>
    <w:rsid w:val="52E776CA"/>
    <w:rsid w:val="58FC7092"/>
    <w:rsid w:val="61BA2809"/>
    <w:rsid w:val="69194315"/>
    <w:rsid w:val="69DF6B12"/>
    <w:rsid w:val="6CB73B9C"/>
    <w:rsid w:val="727B2486"/>
    <w:rsid w:val="75F72A3E"/>
    <w:rsid w:val="76067942"/>
    <w:rsid w:val="79AB7E28"/>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ocked="1"/>
    <w:lsdException w:qFormat="1" w:unhideWhenUsed="0" w:uiPriority="99"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unhideWhenUsed="0" w:uiPriority="0" w:semiHidden="0" w:name="Table Grid" w:locked="1"/>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7">
    <w:name w:val="Default Paragraph Font"/>
    <w:semiHidden/>
    <w:uiPriority w:val="99"/>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1"/>
    <w:uiPriority w:val="99"/>
    <w:pPr>
      <w:widowControl/>
      <w:adjustRightInd w:val="0"/>
      <w:snapToGrid w:val="0"/>
      <w:spacing w:after="200"/>
      <w:jc w:val="left"/>
    </w:pPr>
    <w:rPr>
      <w:rFonts w:ascii="宋体" w:hAnsi="宋体"/>
      <w:kern w:val="0"/>
      <w:szCs w:val="21"/>
      <w:lang w:val="zh-CN"/>
    </w:rPr>
  </w:style>
  <w:style w:type="paragraph" w:styleId="3">
    <w:name w:val="Balloon Text"/>
    <w:basedOn w:val="1"/>
    <w:link w:val="12"/>
    <w:qFormat/>
    <w:uiPriority w:val="99"/>
    <w:rPr>
      <w:sz w:val="18"/>
      <w:szCs w:val="18"/>
    </w:rPr>
  </w:style>
  <w:style w:type="paragraph" w:styleId="4">
    <w:name w:val="footer"/>
    <w:basedOn w:val="1"/>
    <w:link w:val="13"/>
    <w:semiHidden/>
    <w:qFormat/>
    <w:uiPriority w:val="99"/>
    <w:pPr>
      <w:tabs>
        <w:tab w:val="center" w:pos="4153"/>
        <w:tab w:val="right" w:pos="8306"/>
      </w:tabs>
      <w:snapToGrid w:val="0"/>
      <w:jc w:val="left"/>
    </w:pPr>
    <w:rPr>
      <w:kern w:val="0"/>
      <w:sz w:val="18"/>
      <w:szCs w:val="18"/>
    </w:rPr>
  </w:style>
  <w:style w:type="paragraph" w:styleId="5">
    <w:name w:val="header"/>
    <w:basedOn w:val="1"/>
    <w:link w:val="14"/>
    <w:semiHidden/>
    <w:qFormat/>
    <w:uiPriority w:val="99"/>
    <w:pPr>
      <w:pBdr>
        <w:bottom w:val="single" w:color="auto" w:sz="6" w:space="1"/>
      </w:pBdr>
      <w:tabs>
        <w:tab w:val="center" w:pos="4153"/>
        <w:tab w:val="right" w:pos="8306"/>
      </w:tabs>
      <w:snapToGrid w:val="0"/>
      <w:jc w:val="center"/>
    </w:pPr>
    <w:rPr>
      <w:kern w:val="0"/>
      <w:sz w:val="18"/>
      <w:szCs w:val="18"/>
    </w:rPr>
  </w:style>
  <w:style w:type="character" w:styleId="8">
    <w:name w:val="Strong"/>
    <w:basedOn w:val="7"/>
    <w:qFormat/>
    <w:locked/>
    <w:uiPriority w:val="99"/>
    <w:rPr>
      <w:rFonts w:cs="Times New Roman"/>
      <w:b/>
      <w:bCs/>
    </w:rPr>
  </w:style>
  <w:style w:type="character" w:styleId="9">
    <w:name w:val="Emphasis"/>
    <w:basedOn w:val="7"/>
    <w:qFormat/>
    <w:locked/>
    <w:uiPriority w:val="99"/>
    <w:rPr>
      <w:rFonts w:cs="Times New Roman"/>
      <w:i/>
    </w:rPr>
  </w:style>
  <w:style w:type="character" w:styleId="10">
    <w:name w:val="annotation reference"/>
    <w:basedOn w:val="7"/>
    <w:uiPriority w:val="99"/>
    <w:rPr>
      <w:rFonts w:cs="Times New Roman"/>
      <w:sz w:val="21"/>
    </w:rPr>
  </w:style>
  <w:style w:type="character" w:customStyle="1" w:styleId="11">
    <w:name w:val="Body Text Char"/>
    <w:basedOn w:val="7"/>
    <w:link w:val="2"/>
    <w:qFormat/>
    <w:locked/>
    <w:uiPriority w:val="99"/>
    <w:rPr>
      <w:rFonts w:ascii="宋体" w:eastAsia="宋体" w:cs="Times New Roman"/>
      <w:sz w:val="21"/>
      <w:lang w:val="zh-CN"/>
    </w:rPr>
  </w:style>
  <w:style w:type="character" w:customStyle="1" w:styleId="12">
    <w:name w:val="Balloon Text Char"/>
    <w:basedOn w:val="7"/>
    <w:link w:val="3"/>
    <w:semiHidden/>
    <w:qFormat/>
    <w:locked/>
    <w:uiPriority w:val="99"/>
    <w:rPr>
      <w:rFonts w:cs="Times New Roman"/>
      <w:kern w:val="2"/>
      <w:sz w:val="18"/>
    </w:rPr>
  </w:style>
  <w:style w:type="character" w:customStyle="1" w:styleId="13">
    <w:name w:val="Footer Char"/>
    <w:basedOn w:val="7"/>
    <w:link w:val="4"/>
    <w:semiHidden/>
    <w:qFormat/>
    <w:locked/>
    <w:uiPriority w:val="99"/>
    <w:rPr>
      <w:rFonts w:cs="Times New Roman"/>
      <w:sz w:val="18"/>
    </w:rPr>
  </w:style>
  <w:style w:type="character" w:customStyle="1" w:styleId="14">
    <w:name w:val="Header Char"/>
    <w:basedOn w:val="7"/>
    <w:link w:val="5"/>
    <w:semiHidden/>
    <w:qFormat/>
    <w:locked/>
    <w:uiPriority w:val="99"/>
    <w:rPr>
      <w:rFonts w:cs="Times New Roman"/>
      <w:sz w:val="18"/>
    </w:rPr>
  </w:style>
  <w:style w:type="character" w:customStyle="1" w:styleId="15">
    <w:name w:val="段 Char"/>
    <w:link w:val="16"/>
    <w:qFormat/>
    <w:locked/>
    <w:uiPriority w:val="99"/>
    <w:rPr>
      <w:rFonts w:ascii="宋体"/>
      <w:sz w:val="21"/>
      <w:lang w:val="en-US" w:eastAsia="zh-CN"/>
    </w:rPr>
  </w:style>
  <w:style w:type="paragraph" w:customStyle="1" w:styleId="16">
    <w:name w:val="段"/>
    <w:link w:val="15"/>
    <w:qFormat/>
    <w:uiPriority w:val="99"/>
    <w:pPr>
      <w:tabs>
        <w:tab w:val="center" w:pos="4201"/>
        <w:tab w:val="right" w:leader="dot" w:pos="9298"/>
      </w:tabs>
      <w:autoSpaceDE w:val="0"/>
      <w:autoSpaceDN w:val="0"/>
      <w:ind w:firstLine="420" w:firstLineChars="200"/>
      <w:jc w:val="both"/>
    </w:pPr>
    <w:rPr>
      <w:rFonts w:ascii="宋体" w:hAnsi="Times New Roman" w:eastAsia="宋体" w:cs="Times New Roman"/>
      <w:kern w:val="0"/>
      <w:sz w:val="21"/>
      <w:szCs w:val="20"/>
      <w:lang w:val="en-US" w:eastAsia="zh-CN" w:bidi="ar-SA"/>
    </w:rPr>
  </w:style>
  <w:style w:type="paragraph" w:styleId="17">
    <w:name w:val="No Spacing"/>
    <w:qFormat/>
    <w:uiPriority w:val="99"/>
    <w:pPr>
      <w:widowControl w:val="0"/>
      <w:jc w:val="both"/>
    </w:pPr>
    <w:rPr>
      <w:rFonts w:ascii="Times New Roman" w:hAnsi="Times New Roman" w:eastAsia="宋体" w:cs="Times New Roman"/>
      <w:kern w:val="2"/>
      <w:sz w:val="21"/>
      <w:szCs w:val="22"/>
      <w:lang w:val="en-US" w:eastAsia="zh-CN" w:bidi="ar-SA"/>
    </w:rPr>
  </w:style>
  <w:style w:type="paragraph" w:styleId="18">
    <w:name w:val="List Paragraph"/>
    <w:basedOn w:val="1"/>
    <w:qFormat/>
    <w:uiPriority w:val="99"/>
    <w:pPr>
      <w:widowControl/>
      <w:ind w:firstLine="420" w:firstLineChars="200"/>
      <w:jc w:val="left"/>
    </w:pPr>
    <w:rPr>
      <w:rFonts w:ascii="宋体" w:hAnsi="宋体" w:cs="宋体"/>
      <w:kern w:val="0"/>
      <w:sz w:val="24"/>
      <w:szCs w:val="24"/>
    </w:rPr>
  </w:style>
  <w:style w:type="paragraph" w:customStyle="1" w:styleId="19">
    <w:name w:val="章标题"/>
    <w:next w:val="16"/>
    <w:qFormat/>
    <w:uiPriority w:val="99"/>
    <w:pPr>
      <w:spacing w:beforeLines="100" w:afterLines="100"/>
      <w:jc w:val="both"/>
      <w:outlineLvl w:val="1"/>
    </w:pPr>
    <w:rPr>
      <w:rFonts w:ascii="黑体" w:hAnsi="Times New Roman" w:eastAsia="黑体" w:cs="Times New Roman"/>
      <w:kern w:val="0"/>
      <w:sz w:val="21"/>
      <w:szCs w:val="20"/>
      <w:lang w:val="en-US" w:eastAsia="zh-CN" w:bidi="ar-SA"/>
    </w:rPr>
  </w:style>
  <w:style w:type="paragraph" w:customStyle="1" w:styleId="20">
    <w:name w:val="标准文件_段"/>
    <w:qFormat/>
    <w:uiPriority w:val="99"/>
    <w:pPr>
      <w:ind w:firstLine="960" w:firstLineChars="200"/>
      <w:jc w:val="both"/>
    </w:pPr>
    <w:rPr>
      <w:rFonts w:ascii="宋体" w:hAnsi="Times New Roman" w:eastAsia="宋体" w:cs="宋体"/>
      <w:kern w:val="0"/>
      <w:sz w:val="21"/>
      <w:szCs w:val="20"/>
      <w:lang w:val="en-US" w:eastAsia="zh-CN" w:bidi="ar-SA"/>
    </w:rPr>
  </w:style>
  <w:style w:type="character" w:customStyle="1" w:styleId="21">
    <w:name w:val="ref_content_circle container-ri6z_n short-bgiza4 clickable-afkz0z"/>
    <w:basedOn w:val="7"/>
    <w:qFormat/>
    <w:uiPriority w:val="99"/>
    <w:rPr>
      <w:rFonts w:cs="Times New Roma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Template>
  <Pages>6</Pages>
  <Words>2599</Words>
  <Characters>2716</Characters>
  <Lines>0</Lines>
  <Paragraphs>0</Paragraphs>
  <TotalTime>241</TotalTime>
  <ScaleCrop>false</ScaleCrop>
  <LinksUpToDate>false</LinksUpToDate>
  <CharactersWithSpaces>2754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2024-05-24T07:16:00Z</dcterms:created>
  <dc:creator>thesnoW</dc:creator>
  <cp:lastModifiedBy>陈星瞳</cp:lastModifiedBy>
  <cp:lastPrinted>2024-11-06T06:30:00Z</cp:lastPrinted>
  <dcterms:modified xsi:type="dcterms:W3CDTF">2025-01-07T08:40:16Z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BC4DA6A6844E4D8D99EDF0EE08C48D20_13</vt:lpwstr>
  </property>
  <property fmtid="{D5CDD505-2E9C-101B-9397-08002B2CF9AE}" pid="4" name="KSOTemplateDocerSaveRecord">
    <vt:lpwstr>eyJoZGlkIjoiNzhiMjFhNjIyYzE0ZWNjMWI5NjJlODEyYTM4NmRiY2EiLCJ1c2VySWQiOiIxMjEzNjU0MDg4In0=</vt:lpwstr>
  </property>
</Properties>
</file>